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D50" w:rsidRPr="00E569EF" w:rsidRDefault="001F5D50" w:rsidP="001F5D50">
      <w:pPr>
        <w:jc w:val="center"/>
        <w:rPr>
          <w:b/>
          <w:sz w:val="32"/>
          <w:szCs w:val="32"/>
          <w:lang w:val="de-DE"/>
        </w:rPr>
      </w:pPr>
      <w:r w:rsidRPr="00E569EF">
        <w:rPr>
          <w:b/>
          <w:sz w:val="32"/>
          <w:szCs w:val="32"/>
          <w:lang w:val="de-DE"/>
        </w:rPr>
        <w:t xml:space="preserve">Special Educational Needs and/or Disability Information Report </w:t>
      </w:r>
    </w:p>
    <w:p w:rsidR="001F5D50" w:rsidRPr="00E569EF" w:rsidRDefault="001F5D50" w:rsidP="001F5D50">
      <w:pPr>
        <w:jc w:val="center"/>
        <w:rPr>
          <w:lang w:val="de-DE"/>
        </w:rPr>
      </w:pPr>
    </w:p>
    <w:p w:rsidR="001F5D50" w:rsidRPr="00E569EF" w:rsidRDefault="00FF2E96" w:rsidP="001F5D50">
      <w:pPr>
        <w:jc w:val="center"/>
        <w:rPr>
          <w:lang w:val="de-DE"/>
        </w:rPr>
      </w:pPr>
      <w:r>
        <w:rPr>
          <w:lang w:val="de-DE"/>
        </w:rPr>
        <w:t>September 2017</w:t>
      </w:r>
    </w:p>
    <w:p w:rsidR="001F5D50" w:rsidRPr="00E569EF" w:rsidRDefault="001F5D50" w:rsidP="001F5D50">
      <w:pPr>
        <w:jc w:val="center"/>
        <w:rPr>
          <w:lang w:val="de-DE"/>
        </w:rPr>
      </w:pPr>
    </w:p>
    <w:p w:rsidR="001F5D50" w:rsidRPr="00E569EF" w:rsidRDefault="001F5D50" w:rsidP="001F5D50">
      <w:pPr>
        <w:jc w:val="both"/>
      </w:pPr>
      <w:r w:rsidRPr="00E569EF">
        <w:t xml:space="preserve">School </w:t>
      </w:r>
      <w:proofErr w:type="spellStart"/>
      <w:r w:rsidRPr="00E569EF">
        <w:t>SENCo</w:t>
      </w:r>
      <w:proofErr w:type="spellEnd"/>
      <w:r w:rsidRPr="00E569EF">
        <w:t xml:space="preserve">:  </w:t>
      </w:r>
      <w:proofErr w:type="spellStart"/>
      <w:r w:rsidRPr="00E569EF">
        <w:t>Ms</w:t>
      </w:r>
      <w:proofErr w:type="spellEnd"/>
      <w:r w:rsidRPr="00E569EF">
        <w:t xml:space="preserve"> E. Doran </w:t>
      </w:r>
    </w:p>
    <w:p w:rsidR="001F5D50" w:rsidRPr="00E569EF" w:rsidRDefault="001F5D50" w:rsidP="001F5D50">
      <w:pPr>
        <w:jc w:val="both"/>
      </w:pPr>
      <w:r w:rsidRPr="00E569EF">
        <w:t>SEN</w:t>
      </w:r>
      <w:r>
        <w:t>D</w:t>
      </w:r>
      <w:r w:rsidRPr="00E569EF">
        <w:t xml:space="preserve"> Governor: Ruth Andrew </w:t>
      </w:r>
    </w:p>
    <w:p w:rsidR="001F5D50" w:rsidRPr="00E569EF" w:rsidRDefault="001F5D50" w:rsidP="001F5D50">
      <w:pPr>
        <w:jc w:val="both"/>
      </w:pPr>
    </w:p>
    <w:p w:rsidR="001F5D50" w:rsidRDefault="001F5D50" w:rsidP="001F5D50">
      <w:pPr>
        <w:jc w:val="both"/>
      </w:pPr>
      <w:r w:rsidRPr="00E569EF">
        <w:t>Contact Number 0151 260 5522</w:t>
      </w:r>
      <w:r w:rsidR="00E816FF">
        <w:t xml:space="preserve"> </w:t>
      </w:r>
    </w:p>
    <w:p w:rsidR="00E816FF" w:rsidRPr="00E569EF" w:rsidRDefault="00E816FF" w:rsidP="001F5D50">
      <w:pPr>
        <w:jc w:val="both"/>
      </w:pPr>
      <w:r>
        <w:t xml:space="preserve">Email </w:t>
      </w:r>
      <w:hyperlink r:id="rId8" w:history="1">
        <w:r w:rsidRPr="00D85A23">
          <w:rPr>
            <w:rStyle w:val="Hyperlink"/>
          </w:rPr>
          <w:t>e.doran@st-margaretsanfield.liverpool.sch.uk</w:t>
        </w:r>
      </w:hyperlink>
      <w:r>
        <w:t xml:space="preserve"> </w:t>
      </w:r>
    </w:p>
    <w:p w:rsidR="001F5D50" w:rsidRPr="00E569EF" w:rsidRDefault="001F5D50" w:rsidP="001F5D50">
      <w:pPr>
        <w:jc w:val="both"/>
      </w:pPr>
    </w:p>
    <w:p w:rsidR="001F5D50" w:rsidRPr="00E569EF" w:rsidRDefault="001F5D50" w:rsidP="001F5D50">
      <w:pPr>
        <w:jc w:val="both"/>
        <w:rPr>
          <w:b/>
        </w:rPr>
      </w:pPr>
      <w:r w:rsidRPr="00E569EF">
        <w:rPr>
          <w:b/>
        </w:rPr>
        <w:t xml:space="preserve">Mission Statement </w:t>
      </w:r>
    </w:p>
    <w:p w:rsidR="001F5D50" w:rsidRPr="00E569EF" w:rsidRDefault="001F5D50" w:rsidP="001F5D50">
      <w:pPr>
        <w:jc w:val="both"/>
      </w:pPr>
      <w:r w:rsidRPr="00E569EF">
        <w:t xml:space="preserve">At St Margaret’s </w:t>
      </w:r>
      <w:proofErr w:type="spellStart"/>
      <w:r w:rsidRPr="00E569EF">
        <w:t>Anfield</w:t>
      </w:r>
      <w:proofErr w:type="spellEnd"/>
      <w:r w:rsidRPr="00E569EF">
        <w:t xml:space="preserve"> CE Primary School, we adopt a whole school approach to special educational needs and disability (SEND). We </w:t>
      </w:r>
      <w:r w:rsidR="00484FC1" w:rsidRPr="00E569EF">
        <w:t>recognize</w:t>
      </w:r>
      <w:r w:rsidRPr="00E569EF">
        <w:t xml:space="preserve"> that children are at different levels in their development and learn in different ways. To support all children, the school delivers a wide, varied and differentiated curriculum. </w:t>
      </w:r>
    </w:p>
    <w:p w:rsidR="001F5D50" w:rsidRDefault="001F5D50" w:rsidP="001F5D50">
      <w:pPr>
        <w:jc w:val="both"/>
      </w:pPr>
    </w:p>
    <w:p w:rsidR="001F5D50" w:rsidRPr="00E569EF" w:rsidRDefault="001F5D50" w:rsidP="001F5D50">
      <w:pPr>
        <w:jc w:val="both"/>
      </w:pPr>
      <w:r w:rsidRPr="00E569EF">
        <w:t xml:space="preserve">All staff work to ensure inclusion of all pupils </w:t>
      </w:r>
      <w:r>
        <w:t>and the</w:t>
      </w:r>
      <w:r w:rsidRPr="00E569EF">
        <w:t xml:space="preserve"> school is committed to ensuring that pupils with special educational needs can fulfill their potential and achieve optimal educational outcomes. </w:t>
      </w:r>
    </w:p>
    <w:p w:rsidR="001F5D50" w:rsidRPr="00E569EF" w:rsidRDefault="001F5D50" w:rsidP="001F5D50">
      <w:pPr>
        <w:jc w:val="both"/>
      </w:pPr>
    </w:p>
    <w:p w:rsidR="001F5D50" w:rsidRPr="00E569EF" w:rsidRDefault="001F5D50" w:rsidP="001F5D50">
      <w:pPr>
        <w:spacing w:line="360" w:lineRule="auto"/>
        <w:rPr>
          <w:b/>
        </w:rPr>
      </w:pPr>
      <w:r w:rsidRPr="00E569EF">
        <w:rPr>
          <w:b/>
        </w:rPr>
        <w:t xml:space="preserve">Special Educational </w:t>
      </w:r>
      <w:r w:rsidR="00E816FF">
        <w:rPr>
          <w:b/>
        </w:rPr>
        <w:t xml:space="preserve">Needs </w:t>
      </w:r>
      <w:r w:rsidRPr="00E569EF">
        <w:rPr>
          <w:b/>
        </w:rPr>
        <w:t>Provision</w:t>
      </w:r>
    </w:p>
    <w:p w:rsidR="001F5D50" w:rsidRPr="00E569EF" w:rsidRDefault="001F5D50" w:rsidP="001F5D50">
      <w:pPr>
        <w:rPr>
          <w:b/>
        </w:rPr>
      </w:pPr>
      <w:r w:rsidRPr="00E569EF">
        <w:t>Our school provides support for pupils across the four areas of need as laid out in the SEND Code of Practice 2014.</w:t>
      </w:r>
      <w:r w:rsidRPr="00E569EF">
        <w:rPr>
          <w:b/>
        </w:rPr>
        <w:t xml:space="preserve"> </w:t>
      </w:r>
    </w:p>
    <w:p w:rsidR="001F5D50" w:rsidRPr="00E569EF" w:rsidRDefault="001F5D50" w:rsidP="001F5D50">
      <w:pPr>
        <w:rPr>
          <w:b/>
        </w:rPr>
      </w:pPr>
      <w:r w:rsidRPr="00E569EF">
        <w:t>These are:</w:t>
      </w:r>
    </w:p>
    <w:p w:rsidR="001F5D50" w:rsidRPr="00E569EF" w:rsidRDefault="001F5D50" w:rsidP="001F5D50">
      <w:pPr>
        <w:numPr>
          <w:ilvl w:val="0"/>
          <w:numId w:val="28"/>
        </w:numPr>
        <w:spacing w:before="200" w:after="200" w:line="360" w:lineRule="auto"/>
        <w:contextualSpacing/>
        <w:rPr>
          <w:rFonts w:eastAsia="Calibri"/>
          <w:lang w:val="en-GB"/>
        </w:rPr>
      </w:pPr>
      <w:r w:rsidRPr="00E569EF">
        <w:rPr>
          <w:rFonts w:eastAsia="Calibri"/>
          <w:lang w:val="en-GB"/>
        </w:rPr>
        <w:t>Communication and Interaction</w:t>
      </w:r>
    </w:p>
    <w:p w:rsidR="001F5D50" w:rsidRPr="00E569EF" w:rsidRDefault="001F5D50" w:rsidP="001F5D50">
      <w:pPr>
        <w:numPr>
          <w:ilvl w:val="0"/>
          <w:numId w:val="28"/>
        </w:numPr>
        <w:spacing w:before="200" w:after="200" w:line="360" w:lineRule="auto"/>
        <w:contextualSpacing/>
        <w:rPr>
          <w:rFonts w:eastAsia="Calibri"/>
          <w:lang w:val="en-GB"/>
        </w:rPr>
      </w:pPr>
      <w:r w:rsidRPr="00E569EF">
        <w:rPr>
          <w:rFonts w:eastAsia="Calibri"/>
          <w:lang w:val="en-GB"/>
        </w:rPr>
        <w:t>Cognition and Learning</w:t>
      </w:r>
    </w:p>
    <w:p w:rsidR="001F5D50" w:rsidRPr="00E569EF" w:rsidRDefault="001F5D50" w:rsidP="001F5D50">
      <w:pPr>
        <w:numPr>
          <w:ilvl w:val="0"/>
          <w:numId w:val="28"/>
        </w:numPr>
        <w:spacing w:before="200" w:after="200" w:line="360" w:lineRule="auto"/>
        <w:contextualSpacing/>
        <w:rPr>
          <w:rFonts w:eastAsia="Calibri"/>
          <w:lang w:val="en-GB"/>
        </w:rPr>
      </w:pPr>
      <w:r w:rsidRPr="00E569EF">
        <w:rPr>
          <w:rFonts w:eastAsia="Calibri"/>
          <w:lang w:val="en-GB"/>
        </w:rPr>
        <w:t>Social, Emotional and Mental Health Difficulties</w:t>
      </w:r>
    </w:p>
    <w:p w:rsidR="001F5D50" w:rsidRPr="00E569EF" w:rsidRDefault="001F5D50" w:rsidP="001F5D50">
      <w:pPr>
        <w:numPr>
          <w:ilvl w:val="0"/>
          <w:numId w:val="28"/>
        </w:numPr>
        <w:spacing w:before="200" w:after="200" w:line="360" w:lineRule="auto"/>
        <w:contextualSpacing/>
        <w:rPr>
          <w:rFonts w:eastAsia="Calibri"/>
          <w:lang w:val="en-GB"/>
        </w:rPr>
      </w:pPr>
      <w:r w:rsidRPr="00E569EF">
        <w:rPr>
          <w:rFonts w:eastAsia="Calibri"/>
          <w:lang w:val="en-GB"/>
        </w:rPr>
        <w:t>Sensory and or Physical Needs</w:t>
      </w:r>
    </w:p>
    <w:p w:rsidR="001F5D50" w:rsidRDefault="001F5D50" w:rsidP="001F5D50">
      <w:pPr>
        <w:rPr>
          <w:b/>
        </w:rPr>
      </w:pPr>
    </w:p>
    <w:p w:rsidR="00E816FF" w:rsidRDefault="00E816FF" w:rsidP="001F5D50">
      <w:pPr>
        <w:rPr>
          <w:b/>
        </w:rPr>
      </w:pPr>
    </w:p>
    <w:p w:rsidR="00E816FF" w:rsidRDefault="00E816FF" w:rsidP="001F5D50">
      <w:pPr>
        <w:rPr>
          <w:b/>
        </w:rPr>
      </w:pPr>
    </w:p>
    <w:p w:rsidR="00E816FF" w:rsidRDefault="00E816FF" w:rsidP="001F5D50">
      <w:pPr>
        <w:rPr>
          <w:b/>
        </w:rPr>
      </w:pPr>
    </w:p>
    <w:p w:rsidR="00E816FF" w:rsidRDefault="00E816FF" w:rsidP="001F5D50">
      <w:pPr>
        <w:rPr>
          <w:b/>
        </w:rPr>
      </w:pPr>
    </w:p>
    <w:p w:rsidR="001F5D50" w:rsidRPr="00E569EF" w:rsidRDefault="001F5D50" w:rsidP="001F5D50">
      <w:pPr>
        <w:rPr>
          <w:b/>
        </w:rPr>
      </w:pPr>
      <w:r w:rsidRPr="00E569EF">
        <w:rPr>
          <w:b/>
        </w:rPr>
        <w:lastRenderedPageBreak/>
        <w:t xml:space="preserve">What percentage of pupils have been identified as having a special education need and/or disability at St Margaret’s </w:t>
      </w:r>
      <w:proofErr w:type="spellStart"/>
      <w:r w:rsidRPr="00E569EF">
        <w:rPr>
          <w:b/>
        </w:rPr>
        <w:t>Anfield</w:t>
      </w:r>
      <w:proofErr w:type="spellEnd"/>
      <w:r w:rsidRPr="00E569EF">
        <w:rPr>
          <w:b/>
        </w:rPr>
        <w:t xml:space="preserve"> Primary School?</w:t>
      </w:r>
    </w:p>
    <w:p w:rsidR="001F5D50" w:rsidRDefault="00FF2E96" w:rsidP="00FF2E96">
      <w:pPr>
        <w:spacing w:before="200" w:after="200"/>
        <w:contextualSpacing/>
        <w:jc w:val="both"/>
        <w:rPr>
          <w:rFonts w:eastAsia="Calibri"/>
          <w:b/>
          <w:lang w:val="en-GB"/>
        </w:rPr>
      </w:pPr>
      <w:r>
        <w:rPr>
          <w:rFonts w:eastAsia="Calibri"/>
          <w:b/>
          <w:lang w:val="en-GB"/>
        </w:rPr>
        <w:t>2016-2017</w:t>
      </w:r>
    </w:p>
    <w:p w:rsidR="00E816FF" w:rsidRDefault="00E816FF" w:rsidP="00FF2E96">
      <w:pPr>
        <w:spacing w:before="200" w:after="200"/>
        <w:contextualSpacing/>
        <w:jc w:val="both"/>
        <w:rPr>
          <w:rFonts w:eastAsia="Calibri"/>
          <w:b/>
          <w:lang w:val="en-GB"/>
        </w:rPr>
      </w:pPr>
    </w:p>
    <w:p w:rsidR="001F5D50" w:rsidRPr="00E569EF" w:rsidRDefault="00FF2E96" w:rsidP="001F5D50">
      <w:pPr>
        <w:spacing w:before="200" w:after="200"/>
        <w:contextualSpacing/>
        <w:jc w:val="both"/>
        <w:rPr>
          <w:rFonts w:eastAsia="Calibri"/>
          <w:lang w:val="en-GB"/>
        </w:rPr>
      </w:pPr>
      <w:r>
        <w:rPr>
          <w:rFonts w:eastAsia="Calibri"/>
          <w:lang w:val="en-GB"/>
        </w:rPr>
        <w:t>18</w:t>
      </w:r>
      <w:r w:rsidR="001F5D50" w:rsidRPr="00E569EF">
        <w:rPr>
          <w:rFonts w:eastAsia="Calibri"/>
          <w:lang w:val="en-GB"/>
        </w:rPr>
        <w:t xml:space="preserve">% of pupils on our school roll are on the SEND register and have been identified as having special educational needs and/or a disability. 1.3% of children have an Educational Health and Care Plan and </w:t>
      </w:r>
      <w:r w:rsidR="009A0E0F">
        <w:rPr>
          <w:rFonts w:eastAsia="Calibri"/>
          <w:lang w:val="en-GB"/>
        </w:rPr>
        <w:t>10</w:t>
      </w:r>
      <w:r w:rsidR="001F5D50" w:rsidRPr="00E569EF">
        <w:rPr>
          <w:rFonts w:eastAsia="Calibri"/>
          <w:lang w:val="en-GB"/>
        </w:rPr>
        <w:t xml:space="preserve">% have an Early Help </w:t>
      </w:r>
      <w:r w:rsidR="009A0E0F">
        <w:rPr>
          <w:rFonts w:eastAsia="Calibri"/>
          <w:lang w:val="en-GB"/>
        </w:rPr>
        <w:t>Assessment Tool (EHAT). 2</w:t>
      </w:r>
      <w:r w:rsidR="001F5D50" w:rsidRPr="00E569EF">
        <w:rPr>
          <w:rFonts w:eastAsia="Calibri"/>
          <w:lang w:val="en-GB"/>
        </w:rPr>
        <w:t xml:space="preserve">% of our SEND children have been awarded higher needs funding. </w:t>
      </w:r>
    </w:p>
    <w:p w:rsidR="001F5D50" w:rsidRPr="00E569EF" w:rsidRDefault="001F5D50" w:rsidP="001F5D50">
      <w:pPr>
        <w:spacing w:before="200" w:after="200"/>
        <w:ind w:left="720"/>
        <w:contextualSpacing/>
        <w:jc w:val="both"/>
        <w:rPr>
          <w:rFonts w:eastAsia="Calibri"/>
          <w:lang w:val="en-GB"/>
        </w:rPr>
      </w:pPr>
    </w:p>
    <w:p w:rsidR="001F5D50" w:rsidRDefault="001F5D50" w:rsidP="001F5D50">
      <w:pPr>
        <w:rPr>
          <w:rFonts w:eastAsia="Calibri"/>
          <w:b/>
          <w:lang w:val="en-GB"/>
        </w:rPr>
      </w:pPr>
      <w:r w:rsidRPr="00E569EF">
        <w:rPr>
          <w:rFonts w:eastAsia="Calibri"/>
          <w:b/>
          <w:lang w:val="en-GB"/>
        </w:rPr>
        <w:t>Our Approach as a School</w:t>
      </w:r>
    </w:p>
    <w:p w:rsidR="00E816FF" w:rsidRPr="00E569EF" w:rsidRDefault="00E816FF" w:rsidP="001F5D50">
      <w:pPr>
        <w:rPr>
          <w:rFonts w:eastAsia="Calibri"/>
          <w:b/>
          <w:lang w:val="en-GB"/>
        </w:rPr>
      </w:pPr>
    </w:p>
    <w:p w:rsidR="001F5D50" w:rsidRPr="00E569EF" w:rsidRDefault="001F5D50" w:rsidP="001F5D50">
      <w:pPr>
        <w:rPr>
          <w:rFonts w:eastAsia="Calibri"/>
          <w:lang w:val="en-GB"/>
        </w:rPr>
      </w:pPr>
      <w:r>
        <w:rPr>
          <w:rFonts w:eastAsia="Calibri"/>
          <w:lang w:val="en-GB"/>
        </w:rPr>
        <w:t>High quality first t</w:t>
      </w:r>
      <w:r w:rsidRPr="00E569EF">
        <w:rPr>
          <w:rFonts w:eastAsia="Calibri"/>
          <w:lang w:val="en-GB"/>
        </w:rPr>
        <w:t>eaching and additional interventions are defined through our person centred approach. Underpinning our provision in school is the graduated approach cycle as follows:</w:t>
      </w:r>
    </w:p>
    <w:p w:rsidR="001F5D50" w:rsidRPr="00E569EF" w:rsidRDefault="001F5D50" w:rsidP="001F5D50">
      <w:pPr>
        <w:rPr>
          <w:rFonts w:eastAsia="Calibri"/>
          <w:lang w:val="en-GB"/>
        </w:rPr>
      </w:pPr>
    </w:p>
    <w:p w:rsidR="001F5D50" w:rsidRPr="00E569EF" w:rsidRDefault="001F5D50" w:rsidP="001F5D50">
      <w:pPr>
        <w:rPr>
          <w:rFonts w:eastAsia="Calibri"/>
          <w:lang w:val="en-GB"/>
        </w:rPr>
      </w:pPr>
      <w:r>
        <w:rPr>
          <w:noProof/>
        </w:rPr>
        <w:drawing>
          <wp:anchor distT="0" distB="0" distL="114300" distR="114300" simplePos="0" relativeHeight="251659264" behindDoc="1" locked="0" layoutInCell="1" allowOverlap="1" wp14:anchorId="66A1DF5B" wp14:editId="6B02A309">
            <wp:simplePos x="0" y="0"/>
            <wp:positionH relativeFrom="column">
              <wp:posOffset>1647825</wp:posOffset>
            </wp:positionH>
            <wp:positionV relativeFrom="paragraph">
              <wp:posOffset>68580</wp:posOffset>
            </wp:positionV>
            <wp:extent cx="2124075" cy="2105025"/>
            <wp:effectExtent l="0" t="0" r="9525" b="9525"/>
            <wp:wrapTight wrapText="bothSides">
              <wp:wrapPolygon edited="0">
                <wp:start x="0" y="0"/>
                <wp:lineTo x="0" y="21502"/>
                <wp:lineTo x="21503" y="21502"/>
                <wp:lineTo x="21503" y="0"/>
                <wp:lineTo x="0"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4075" cy="2105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5D50" w:rsidRPr="00E569EF" w:rsidRDefault="001F5D50" w:rsidP="001F5D50">
      <w:pPr>
        <w:rPr>
          <w:rFonts w:eastAsia="Calibri"/>
          <w:lang w:val="en-GB"/>
        </w:rPr>
      </w:pPr>
    </w:p>
    <w:p w:rsidR="001F5D50" w:rsidRPr="00E569EF" w:rsidRDefault="001F5D50" w:rsidP="001F5D50"/>
    <w:p w:rsidR="001F5D50" w:rsidRPr="00E569EF" w:rsidRDefault="001F5D50" w:rsidP="001F5D50"/>
    <w:p w:rsidR="001F5D50" w:rsidRPr="00E569EF" w:rsidRDefault="001F5D50" w:rsidP="001F5D50">
      <w:pPr>
        <w:spacing w:before="200" w:after="200"/>
        <w:contextualSpacing/>
        <w:rPr>
          <w:rFonts w:eastAsia="Calibri"/>
          <w:b/>
          <w:lang w:val="en-GB"/>
        </w:rPr>
      </w:pPr>
    </w:p>
    <w:p w:rsidR="001F5D50" w:rsidRPr="00E569EF" w:rsidRDefault="001F5D50" w:rsidP="001F5D50">
      <w:pPr>
        <w:spacing w:before="200" w:after="200"/>
        <w:contextualSpacing/>
        <w:rPr>
          <w:rFonts w:eastAsia="Calibri"/>
          <w:b/>
          <w:lang w:val="en-GB"/>
        </w:rPr>
      </w:pPr>
    </w:p>
    <w:p w:rsidR="001F5D50" w:rsidRPr="00E569EF" w:rsidRDefault="001F5D50" w:rsidP="001F5D50">
      <w:pPr>
        <w:spacing w:before="200" w:after="200"/>
        <w:contextualSpacing/>
        <w:rPr>
          <w:rFonts w:eastAsia="Calibri"/>
          <w:b/>
          <w:lang w:val="en-GB"/>
        </w:rPr>
      </w:pPr>
    </w:p>
    <w:p w:rsidR="001F5D50" w:rsidRPr="00E569EF" w:rsidRDefault="001F5D50" w:rsidP="001F5D50">
      <w:pPr>
        <w:spacing w:before="200" w:after="200"/>
        <w:contextualSpacing/>
        <w:rPr>
          <w:rFonts w:eastAsia="Calibri"/>
          <w:b/>
          <w:lang w:val="en-GB"/>
        </w:rPr>
      </w:pPr>
    </w:p>
    <w:p w:rsidR="001F5D50" w:rsidRPr="00E569EF" w:rsidRDefault="001F5D50" w:rsidP="001F5D50">
      <w:pPr>
        <w:spacing w:before="200" w:after="200"/>
        <w:contextualSpacing/>
        <w:rPr>
          <w:rFonts w:eastAsia="Calibri"/>
          <w:b/>
          <w:lang w:val="en-GB"/>
        </w:rPr>
      </w:pPr>
    </w:p>
    <w:p w:rsidR="001F5D50" w:rsidRPr="00E569EF" w:rsidRDefault="001F5D50" w:rsidP="001F5D50">
      <w:pPr>
        <w:spacing w:before="200" w:after="200"/>
        <w:contextualSpacing/>
        <w:rPr>
          <w:rFonts w:eastAsia="Calibri"/>
          <w:b/>
          <w:lang w:val="en-GB"/>
        </w:rPr>
      </w:pPr>
    </w:p>
    <w:p w:rsidR="001F5D50" w:rsidRPr="00E569EF" w:rsidRDefault="001F5D50" w:rsidP="001F5D50">
      <w:pPr>
        <w:spacing w:before="200" w:after="200"/>
        <w:contextualSpacing/>
        <w:rPr>
          <w:rFonts w:eastAsia="Calibri"/>
          <w:lang w:val="en-GB"/>
        </w:rPr>
      </w:pPr>
    </w:p>
    <w:p w:rsidR="001F5D50" w:rsidRPr="00E569EF" w:rsidRDefault="001F5D50" w:rsidP="001F5D50">
      <w:pPr>
        <w:spacing w:before="200" w:after="200"/>
        <w:contextualSpacing/>
        <w:rPr>
          <w:rFonts w:eastAsia="Calibri"/>
          <w:lang w:val="en-GB"/>
        </w:rPr>
      </w:pPr>
    </w:p>
    <w:p w:rsidR="001F5D50" w:rsidRPr="00E569EF" w:rsidRDefault="001F5D50" w:rsidP="001F5D50">
      <w:pPr>
        <w:spacing w:before="200" w:after="200"/>
        <w:contextualSpacing/>
        <w:rPr>
          <w:rFonts w:eastAsia="Calibri"/>
          <w:lang w:val="en-GB"/>
        </w:rPr>
      </w:pPr>
      <w:r w:rsidRPr="00E569EF">
        <w:rPr>
          <w:rFonts w:eastAsia="Calibri"/>
          <w:lang w:val="en-GB"/>
        </w:rPr>
        <w:t xml:space="preserve">All teachers are responsible for every child in their care, including those with special educational needs. </w:t>
      </w:r>
    </w:p>
    <w:p w:rsidR="001F5D50" w:rsidRPr="00E569EF" w:rsidRDefault="001F5D50" w:rsidP="001F5D50">
      <w:pPr>
        <w:spacing w:before="200" w:after="200"/>
        <w:contextualSpacing/>
        <w:rPr>
          <w:rFonts w:eastAsia="Calibri"/>
          <w:lang w:val="en-GB"/>
        </w:rPr>
      </w:pPr>
    </w:p>
    <w:p w:rsidR="001F5D50" w:rsidRDefault="001F5D50" w:rsidP="001F5D50">
      <w:pPr>
        <w:spacing w:before="200" w:after="200"/>
        <w:contextualSpacing/>
        <w:rPr>
          <w:rFonts w:eastAsia="Calibri"/>
          <w:b/>
          <w:lang w:val="en-GB"/>
        </w:rPr>
      </w:pPr>
      <w:r w:rsidRPr="00E569EF">
        <w:rPr>
          <w:rFonts w:eastAsia="Calibri"/>
          <w:b/>
          <w:lang w:val="en-GB"/>
        </w:rPr>
        <w:t>Assess</w:t>
      </w:r>
    </w:p>
    <w:p w:rsidR="00E816FF" w:rsidRPr="00E569EF" w:rsidRDefault="00E816FF" w:rsidP="001F5D50">
      <w:pPr>
        <w:spacing w:before="200" w:after="200"/>
        <w:contextualSpacing/>
        <w:rPr>
          <w:rFonts w:eastAsia="Calibri"/>
          <w:b/>
          <w:lang w:val="en-GB"/>
        </w:rPr>
      </w:pPr>
    </w:p>
    <w:p w:rsidR="001F5D50" w:rsidRPr="00E569EF" w:rsidRDefault="001F5D50" w:rsidP="001F5D50">
      <w:pPr>
        <w:spacing w:before="200" w:after="200"/>
        <w:contextualSpacing/>
        <w:rPr>
          <w:rFonts w:eastAsia="Calibri"/>
          <w:lang w:val="en-GB"/>
        </w:rPr>
      </w:pPr>
      <w:r w:rsidRPr="00E569EF">
        <w:rPr>
          <w:rFonts w:eastAsia="Calibri"/>
          <w:lang w:val="en-GB"/>
        </w:rPr>
        <w:t>Pupils are identified as having SEND and their needs are assessed through the sharing of information between school</w:t>
      </w:r>
      <w:r w:rsidR="009A0E0F">
        <w:rPr>
          <w:rFonts w:eastAsia="Calibri"/>
          <w:lang w:val="en-GB"/>
        </w:rPr>
        <w:t>s</w:t>
      </w:r>
      <w:r w:rsidRPr="00E569EF">
        <w:rPr>
          <w:rFonts w:eastAsia="Calibri"/>
          <w:lang w:val="en-GB"/>
        </w:rPr>
        <w:t>, parents and any previous settings or early years provision that they may have attended. Evidence will be gathered by teacher observations and at times the use of standardised screening or assessment tools may be used. Reports or observations from outside agencies and specialist providers may also be used in order to assess your child.</w:t>
      </w:r>
    </w:p>
    <w:p w:rsidR="001F5D50" w:rsidRDefault="001F5D50" w:rsidP="001F5D50">
      <w:pPr>
        <w:rPr>
          <w:b/>
        </w:rPr>
      </w:pPr>
    </w:p>
    <w:p w:rsidR="001F5D50" w:rsidRDefault="001F5D50" w:rsidP="001F5D50">
      <w:pPr>
        <w:rPr>
          <w:b/>
        </w:rPr>
      </w:pPr>
      <w:r w:rsidRPr="00E569EF">
        <w:rPr>
          <w:b/>
        </w:rPr>
        <w:t xml:space="preserve">Plan </w:t>
      </w:r>
    </w:p>
    <w:p w:rsidR="00E816FF" w:rsidRPr="00E569EF" w:rsidRDefault="00E816FF" w:rsidP="001F5D50">
      <w:pPr>
        <w:rPr>
          <w:b/>
        </w:rPr>
      </w:pPr>
    </w:p>
    <w:p w:rsidR="001F5D50" w:rsidRPr="00E569EF" w:rsidRDefault="001F5D50" w:rsidP="001F5D50">
      <w:r w:rsidRPr="00E569EF">
        <w:t xml:space="preserve">The teacher and </w:t>
      </w:r>
      <w:proofErr w:type="spellStart"/>
      <w:r w:rsidRPr="00E569EF">
        <w:t>SENCo</w:t>
      </w:r>
      <w:proofErr w:type="spellEnd"/>
      <w:r w:rsidRPr="00E569EF">
        <w:t xml:space="preserve"> agree in consultation with the parent and pupils the adjustments, interventions and support to be put in place as well as the expected impact on progress </w:t>
      </w:r>
      <w:r w:rsidR="009A0E0F">
        <w:t xml:space="preserve">and </w:t>
      </w:r>
      <w:r w:rsidRPr="00E569EF">
        <w:t xml:space="preserve">development along with a date for review. Any plans for outside agency involvement will stipulate what is required and who will be involved with the child/family. </w:t>
      </w:r>
    </w:p>
    <w:p w:rsidR="001F5D50" w:rsidRPr="00E569EF" w:rsidRDefault="001F5D50" w:rsidP="001F5D50"/>
    <w:p w:rsidR="001F5D50" w:rsidRDefault="001F5D50" w:rsidP="001F5D50">
      <w:pPr>
        <w:rPr>
          <w:b/>
        </w:rPr>
      </w:pPr>
      <w:r w:rsidRPr="00E569EF">
        <w:rPr>
          <w:b/>
        </w:rPr>
        <w:t>Do</w:t>
      </w:r>
    </w:p>
    <w:p w:rsidR="00E816FF" w:rsidRPr="00E569EF" w:rsidRDefault="00E816FF" w:rsidP="001F5D50">
      <w:pPr>
        <w:rPr>
          <w:b/>
        </w:rPr>
      </w:pPr>
    </w:p>
    <w:p w:rsidR="001F5D50" w:rsidRPr="00E569EF" w:rsidRDefault="001F5D50" w:rsidP="001F5D50">
      <w:pPr>
        <w:jc w:val="both"/>
      </w:pPr>
      <w:r>
        <w:t>Quality first teaching</w:t>
      </w:r>
      <w:r w:rsidRPr="00E569EF">
        <w:t xml:space="preserve"> is the starting point for all children, delivered by skilled and dedicated staff. Alongside this children may be involved in small group focused provision or intervention groups. These may be delivered by the class teacher, teaching support assistants, outreach support workers or specialist providers. A range of resources to support the four areas of need set out in the SEN</w:t>
      </w:r>
      <w:r>
        <w:t>D</w:t>
      </w:r>
      <w:r w:rsidRPr="00E569EF">
        <w:t xml:space="preserve"> Code of Practice 2014 are provided within an inclusive environment. </w:t>
      </w:r>
    </w:p>
    <w:p w:rsidR="001F5D50" w:rsidRDefault="001F5D50" w:rsidP="001F5D50">
      <w:pPr>
        <w:rPr>
          <w:b/>
        </w:rPr>
      </w:pPr>
    </w:p>
    <w:p w:rsidR="001F5D50" w:rsidRDefault="001F5D50" w:rsidP="001F5D50">
      <w:pPr>
        <w:rPr>
          <w:b/>
        </w:rPr>
      </w:pPr>
      <w:r w:rsidRPr="00E569EF">
        <w:rPr>
          <w:b/>
        </w:rPr>
        <w:t>Review</w:t>
      </w:r>
    </w:p>
    <w:p w:rsidR="00E816FF" w:rsidRPr="00E569EF" w:rsidRDefault="00E816FF" w:rsidP="001F5D50">
      <w:pPr>
        <w:rPr>
          <w:b/>
        </w:rPr>
      </w:pPr>
    </w:p>
    <w:p w:rsidR="001F5D50" w:rsidRPr="00E569EF" w:rsidRDefault="001F5D50" w:rsidP="001F5D50">
      <w:r w:rsidRPr="00E569EF">
        <w:t>The child’s class teacher, along with other staff, the child and child’s family will review each child’s outcomes and decide next steps.</w:t>
      </w:r>
      <w:r w:rsidRPr="00E569EF">
        <w:rPr>
          <w:b/>
        </w:rPr>
        <w:t xml:space="preserve"> </w:t>
      </w:r>
      <w:r w:rsidRPr="00E569EF">
        <w:t xml:space="preserve">Class teachers will work closely with the </w:t>
      </w:r>
      <w:proofErr w:type="spellStart"/>
      <w:r w:rsidRPr="00E569EF">
        <w:t>SENCo</w:t>
      </w:r>
      <w:proofErr w:type="spellEnd"/>
      <w:r w:rsidRPr="00E569EF">
        <w:t xml:space="preserve"> and information will be fed back during progress meetings. The </w:t>
      </w:r>
      <w:proofErr w:type="spellStart"/>
      <w:r w:rsidRPr="00E569EF">
        <w:t>SENCo</w:t>
      </w:r>
      <w:proofErr w:type="spellEnd"/>
      <w:r w:rsidRPr="00E569EF">
        <w:t xml:space="preserve"> will conduct the reviews of children with more complex needs. This may involve outside agenc</w:t>
      </w:r>
      <w:r>
        <w:t>ies and may be recorded as EHAT</w:t>
      </w:r>
      <w:r w:rsidRPr="00E569EF">
        <w:t>s (Early Help Assessment Tools)</w:t>
      </w:r>
      <w:r>
        <w:t xml:space="preserve"> or (TAF</w:t>
      </w:r>
      <w:r w:rsidRPr="00E569EF">
        <w:t>s) Team around the Family meetings.</w:t>
      </w:r>
    </w:p>
    <w:p w:rsidR="001F5D50" w:rsidRPr="00E569EF" w:rsidRDefault="001F5D50" w:rsidP="001F5D50">
      <w:pPr>
        <w:spacing w:before="200" w:after="200"/>
        <w:contextualSpacing/>
        <w:rPr>
          <w:rFonts w:eastAsia="Calibri"/>
          <w:lang w:val="en-GB"/>
        </w:rPr>
      </w:pPr>
      <w:r w:rsidRPr="00E569EF">
        <w:rPr>
          <w:rFonts w:eastAsia="Calibri"/>
          <w:lang w:val="en-GB"/>
        </w:rPr>
        <w:t xml:space="preserve">Children with EHCPs (Educational Health and Care Plans) and Local Authority involvement will have an annual review held in addition to the ongoing reviews that take place in school. </w:t>
      </w:r>
    </w:p>
    <w:p w:rsidR="001F5D50" w:rsidRPr="00E569EF" w:rsidRDefault="001F5D50" w:rsidP="001F5D50">
      <w:pPr>
        <w:spacing w:before="200" w:after="200"/>
        <w:contextualSpacing/>
        <w:rPr>
          <w:rFonts w:eastAsia="Calibri"/>
          <w:lang w:val="en-GB"/>
        </w:rPr>
      </w:pPr>
    </w:p>
    <w:p w:rsidR="001F5D50" w:rsidRDefault="001F5D50" w:rsidP="001F5D50">
      <w:pPr>
        <w:jc w:val="both"/>
        <w:rPr>
          <w:b/>
        </w:rPr>
      </w:pPr>
      <w:r w:rsidRPr="00E569EF">
        <w:rPr>
          <w:b/>
        </w:rPr>
        <w:t>Co-producing with Children and Parent/</w:t>
      </w:r>
      <w:proofErr w:type="spellStart"/>
      <w:r w:rsidRPr="00E569EF">
        <w:rPr>
          <w:b/>
        </w:rPr>
        <w:t>Carer</w:t>
      </w:r>
      <w:r w:rsidR="00E816FF">
        <w:rPr>
          <w:b/>
        </w:rPr>
        <w:t>s</w:t>
      </w:r>
      <w:proofErr w:type="spellEnd"/>
      <w:r w:rsidRPr="00E569EF">
        <w:rPr>
          <w:b/>
        </w:rPr>
        <w:t xml:space="preserve"> </w:t>
      </w:r>
    </w:p>
    <w:p w:rsidR="00E816FF" w:rsidRPr="00E569EF" w:rsidRDefault="00E816FF" w:rsidP="001F5D50">
      <w:pPr>
        <w:jc w:val="both"/>
        <w:rPr>
          <w:b/>
        </w:rPr>
      </w:pPr>
    </w:p>
    <w:p w:rsidR="001F5D50" w:rsidRPr="00E569EF" w:rsidRDefault="001F5D50" w:rsidP="001F5D50">
      <w:r w:rsidRPr="00E569EF">
        <w:t xml:space="preserve">Involving parents, </w:t>
      </w:r>
      <w:proofErr w:type="spellStart"/>
      <w:r w:rsidRPr="00E569EF">
        <w:t>carers</w:t>
      </w:r>
      <w:proofErr w:type="spellEnd"/>
      <w:r w:rsidRPr="00E569EF">
        <w:t xml:space="preserve"> and children is central to our approach and we do this through:</w:t>
      </w:r>
    </w:p>
    <w:p w:rsidR="001F5D50" w:rsidRPr="00E569EF" w:rsidRDefault="001F5D50" w:rsidP="001F5D50">
      <w:pPr>
        <w:jc w:val="both"/>
      </w:pPr>
    </w:p>
    <w:p w:rsidR="001F5D50" w:rsidRPr="00E569EF" w:rsidRDefault="00E816FF" w:rsidP="001F5D50">
      <w:pPr>
        <w:numPr>
          <w:ilvl w:val="0"/>
          <w:numId w:val="31"/>
        </w:numPr>
        <w:jc w:val="both"/>
      </w:pPr>
      <w:r>
        <w:t>T</w:t>
      </w:r>
      <w:r w:rsidR="001F5D50" w:rsidRPr="00E569EF">
        <w:t>eacher, parent and pupil reviews each term as required</w:t>
      </w:r>
      <w:r>
        <w:t>.</w:t>
      </w:r>
    </w:p>
    <w:p w:rsidR="001F5D50" w:rsidRPr="00E569EF" w:rsidRDefault="00E816FF" w:rsidP="001F5D50">
      <w:pPr>
        <w:numPr>
          <w:ilvl w:val="0"/>
          <w:numId w:val="31"/>
        </w:numPr>
        <w:jc w:val="both"/>
      </w:pPr>
      <w:r>
        <w:t>C</w:t>
      </w:r>
      <w:r w:rsidR="001F5D50" w:rsidRPr="00E569EF">
        <w:t>hildren and parents are encouraged to work collaboratively to produce IEPs and One Page Pupil Profiles</w:t>
      </w:r>
      <w:r>
        <w:t>.</w:t>
      </w:r>
    </w:p>
    <w:p w:rsidR="001F5D50" w:rsidRPr="00E569EF" w:rsidRDefault="00E816FF" w:rsidP="001F5D50">
      <w:pPr>
        <w:numPr>
          <w:ilvl w:val="0"/>
          <w:numId w:val="31"/>
        </w:numPr>
        <w:jc w:val="both"/>
      </w:pPr>
      <w:r>
        <w:lastRenderedPageBreak/>
        <w:t>O</w:t>
      </w:r>
      <w:r w:rsidR="001F5D50" w:rsidRPr="00E569EF">
        <w:t>pen door policy in which we urge parent</w:t>
      </w:r>
      <w:r w:rsidR="001F5D50">
        <w:t>s</w:t>
      </w:r>
      <w:r w:rsidR="001F5D50" w:rsidRPr="00E569EF">
        <w:t>/</w:t>
      </w:r>
      <w:proofErr w:type="spellStart"/>
      <w:r w:rsidR="001F5D50" w:rsidRPr="00E569EF">
        <w:t>carer</w:t>
      </w:r>
      <w:r w:rsidR="001F5D50">
        <w:t>s</w:t>
      </w:r>
      <w:proofErr w:type="spellEnd"/>
      <w:r w:rsidR="001F5D50" w:rsidRPr="00E569EF">
        <w:t xml:space="preserve"> to speak to the class teacher and/or </w:t>
      </w:r>
      <w:proofErr w:type="spellStart"/>
      <w:r w:rsidR="001F5D50" w:rsidRPr="00E569EF">
        <w:t>SENCo</w:t>
      </w:r>
      <w:proofErr w:type="spellEnd"/>
      <w:r w:rsidR="001F5D50" w:rsidRPr="00E569EF">
        <w:t xml:space="preserve"> if they have any concerns about their child</w:t>
      </w:r>
      <w:r>
        <w:t>.</w:t>
      </w:r>
      <w:r w:rsidR="001F5D50" w:rsidRPr="00E569EF">
        <w:t xml:space="preserve"> </w:t>
      </w:r>
    </w:p>
    <w:p w:rsidR="001F5D50" w:rsidRPr="00E569EF" w:rsidRDefault="00E816FF" w:rsidP="001F5D50">
      <w:pPr>
        <w:numPr>
          <w:ilvl w:val="0"/>
          <w:numId w:val="31"/>
        </w:numPr>
        <w:jc w:val="both"/>
      </w:pPr>
      <w:r>
        <w:t>I</w:t>
      </w:r>
      <w:r w:rsidR="001F5D50" w:rsidRPr="00E569EF">
        <w:t>nduction sessions and meetings for new parent</w:t>
      </w:r>
      <w:r w:rsidR="001F5D50">
        <w:t>s</w:t>
      </w:r>
      <w:r w:rsidR="001F5D50" w:rsidRPr="00E569EF">
        <w:t>/</w:t>
      </w:r>
      <w:proofErr w:type="spellStart"/>
      <w:r w:rsidR="001F5D50" w:rsidRPr="00E569EF">
        <w:t>carer</w:t>
      </w:r>
      <w:r w:rsidR="001F5D50">
        <w:t>s</w:t>
      </w:r>
      <w:proofErr w:type="spellEnd"/>
      <w:r w:rsidR="001F5D50" w:rsidRPr="00E569EF">
        <w:t xml:space="preserve"> and their child.</w:t>
      </w:r>
    </w:p>
    <w:p w:rsidR="001F5D50" w:rsidRPr="00E569EF" w:rsidRDefault="00E816FF" w:rsidP="001F5D50">
      <w:pPr>
        <w:numPr>
          <w:ilvl w:val="0"/>
          <w:numId w:val="31"/>
        </w:numPr>
        <w:jc w:val="both"/>
      </w:pPr>
      <w:r>
        <w:t>T</w:t>
      </w:r>
      <w:r w:rsidR="001F5D50" w:rsidRPr="00E569EF">
        <w:t xml:space="preserve">ransition meetings for Children with SEND when transferring through key stages. </w:t>
      </w:r>
    </w:p>
    <w:p w:rsidR="00E816FF" w:rsidRDefault="00E816FF" w:rsidP="001F5D50">
      <w:pPr>
        <w:spacing w:before="200" w:after="200"/>
        <w:contextualSpacing/>
      </w:pPr>
    </w:p>
    <w:p w:rsidR="001F5D50" w:rsidRDefault="001F5D50" w:rsidP="001F5D50">
      <w:pPr>
        <w:spacing w:before="200" w:after="200"/>
        <w:contextualSpacing/>
        <w:rPr>
          <w:rFonts w:eastAsia="Calibri"/>
          <w:b/>
          <w:lang w:val="en-GB"/>
        </w:rPr>
      </w:pPr>
      <w:r w:rsidRPr="00E569EF">
        <w:rPr>
          <w:rFonts w:eastAsia="Calibri"/>
          <w:b/>
          <w:lang w:val="en-GB"/>
        </w:rPr>
        <w:t>Supporting Pupils with Social Emotional and Mental Health Difficulties</w:t>
      </w:r>
    </w:p>
    <w:p w:rsidR="00E816FF" w:rsidRPr="00E569EF" w:rsidRDefault="00E816FF" w:rsidP="001F5D50">
      <w:pPr>
        <w:spacing w:before="200" w:after="200"/>
        <w:contextualSpacing/>
        <w:rPr>
          <w:rFonts w:eastAsia="Calibri"/>
          <w:b/>
          <w:lang w:val="en-GB"/>
        </w:rPr>
      </w:pPr>
    </w:p>
    <w:p w:rsidR="001F5D50" w:rsidRPr="00E569EF" w:rsidRDefault="001F5D50" w:rsidP="001F5D50">
      <w:r w:rsidRPr="00E569EF">
        <w:t xml:space="preserve">We </w:t>
      </w:r>
      <w:proofErr w:type="spellStart"/>
      <w:r w:rsidRPr="00E569EF">
        <w:t>recognise</w:t>
      </w:r>
      <w:proofErr w:type="spellEnd"/>
      <w:r w:rsidRPr="00E569EF">
        <w:t xml:space="preserve"> that some children have extra emotional and social needs that need to be considered and nurtured. Children’s personal</w:t>
      </w:r>
      <w:r>
        <w:t>,</w:t>
      </w:r>
      <w:r w:rsidRPr="00E569EF">
        <w:t xml:space="preserve"> social and emotional development is supported in school through our RE schemes of work and the PSHE SEAL topics. We have some focused </w:t>
      </w:r>
      <w:r w:rsidR="00BB15D1">
        <w:t xml:space="preserve">interventions in place such as </w:t>
      </w:r>
      <w:proofErr w:type="spellStart"/>
      <w:r w:rsidR="00BB15D1">
        <w:t>lego</w:t>
      </w:r>
      <w:proofErr w:type="spellEnd"/>
      <w:r w:rsidR="00BB15D1">
        <w:t xml:space="preserve"> t</w:t>
      </w:r>
      <w:r w:rsidRPr="00E569EF">
        <w:t xml:space="preserve">herapy, </w:t>
      </w:r>
      <w:r w:rsidR="00BB15D1">
        <w:t xml:space="preserve">yoga, peer massage, heart prayer, </w:t>
      </w:r>
      <w:proofErr w:type="gramStart"/>
      <w:r w:rsidR="00BB15D1">
        <w:t>time</w:t>
      </w:r>
      <w:proofErr w:type="gramEnd"/>
      <w:r w:rsidR="00BB15D1">
        <w:t xml:space="preserve"> to t</w:t>
      </w:r>
      <w:r w:rsidRPr="00E569EF">
        <w:t xml:space="preserve">alk </w:t>
      </w:r>
      <w:r w:rsidR="00484FC1">
        <w:t xml:space="preserve">1:1 sessions, access to our </w:t>
      </w:r>
      <w:proofErr w:type="spellStart"/>
      <w:r w:rsidR="00484FC1">
        <w:t>Personalised</w:t>
      </w:r>
      <w:proofErr w:type="spellEnd"/>
      <w:r w:rsidR="00484FC1">
        <w:t xml:space="preserve"> Learning C</w:t>
      </w:r>
      <w:r w:rsidR="00BB15D1">
        <w:t>entre and CAMHS seedlings and tree of life projects.</w:t>
      </w:r>
    </w:p>
    <w:p w:rsidR="001F5D50" w:rsidRPr="00E569EF" w:rsidRDefault="001F5D50" w:rsidP="001F5D50"/>
    <w:p w:rsidR="001F5D50" w:rsidRPr="00E569EF" w:rsidRDefault="001F5D50" w:rsidP="001F5D50">
      <w:pPr>
        <w:jc w:val="both"/>
      </w:pPr>
      <w:r w:rsidRPr="00E569EF">
        <w:t xml:space="preserve">We have a strong Christian ethos which encourages Christian moral values, positive </w:t>
      </w:r>
      <w:proofErr w:type="spellStart"/>
      <w:r w:rsidRPr="00E569EF">
        <w:t>behaviours</w:t>
      </w:r>
      <w:proofErr w:type="spellEnd"/>
      <w:r w:rsidRPr="00E569EF">
        <w:t xml:space="preserve"> and a shared mutual respect. We have an anti-bullying policy which is upheld in school by pupils and staff.</w:t>
      </w:r>
    </w:p>
    <w:p w:rsidR="001F5D50" w:rsidRPr="00E569EF" w:rsidRDefault="001F5D50" w:rsidP="001F5D50">
      <w:pPr>
        <w:jc w:val="both"/>
      </w:pPr>
    </w:p>
    <w:p w:rsidR="001F5D50" w:rsidRPr="00E569EF" w:rsidRDefault="001F5D50" w:rsidP="001F5D50">
      <w:pPr>
        <w:jc w:val="both"/>
      </w:pPr>
      <w:r w:rsidRPr="00E569EF">
        <w:t xml:space="preserve">We also have access to some specialist services and outreach providers that can work with school to support social, emotional and mental health difficulties. </w:t>
      </w:r>
    </w:p>
    <w:p w:rsidR="001F5D50" w:rsidRPr="00E569EF" w:rsidRDefault="001F5D50" w:rsidP="001F5D50">
      <w:pPr>
        <w:jc w:val="both"/>
        <w:rPr>
          <w:b/>
        </w:rPr>
      </w:pPr>
    </w:p>
    <w:p w:rsidR="001F5D50" w:rsidRPr="00E569EF" w:rsidRDefault="001F5D50" w:rsidP="001F5D50">
      <w:pPr>
        <w:jc w:val="both"/>
        <w:rPr>
          <w:b/>
        </w:rPr>
      </w:pPr>
      <w:r w:rsidRPr="00E569EF">
        <w:rPr>
          <w:b/>
        </w:rPr>
        <w:t>The Expertise and Training of Staff in Relation to Children and Young People with Special Educational Needs</w:t>
      </w:r>
    </w:p>
    <w:p w:rsidR="001F5D50" w:rsidRPr="00E569EF" w:rsidRDefault="001F5D50" w:rsidP="001F5D50">
      <w:pPr>
        <w:jc w:val="both"/>
        <w:rPr>
          <w:b/>
        </w:rPr>
      </w:pPr>
    </w:p>
    <w:p w:rsidR="001F5D50" w:rsidRPr="00E569EF" w:rsidRDefault="001F5D50" w:rsidP="001F5D50">
      <w:pPr>
        <w:jc w:val="both"/>
      </w:pPr>
      <w:r w:rsidRPr="00E569EF">
        <w:t xml:space="preserve">The school provides training and support to enable all staff to improve the teaching and learning of children, including those with SEND. The </w:t>
      </w:r>
      <w:proofErr w:type="spellStart"/>
      <w:r w:rsidRPr="00E569EF">
        <w:t>SENCo</w:t>
      </w:r>
      <w:proofErr w:type="spellEnd"/>
      <w:r w:rsidRPr="00E569EF">
        <w:t xml:space="preserve">, teaching and support staff can access training through their primary consortia. Training is needs led and is given to staff to meet the needs of all the children attending the school at any point in time. </w:t>
      </w:r>
    </w:p>
    <w:p w:rsidR="00851522" w:rsidRDefault="001F5D50" w:rsidP="001F5D50">
      <w:pPr>
        <w:jc w:val="both"/>
      </w:pPr>
      <w:r w:rsidRPr="00E569EF">
        <w:t>A number of named staff are first aiders and are trained to use a defibrillator. In addition to this,</w:t>
      </w:r>
      <w:r>
        <w:t xml:space="preserve"> a number</w:t>
      </w:r>
      <w:r w:rsidR="00A87A9A">
        <w:t xml:space="preserve"> of staff have </w:t>
      </w:r>
      <w:r w:rsidRPr="00E569EF">
        <w:t>attended diabetes training with Alder Hey diabetes team.</w:t>
      </w:r>
    </w:p>
    <w:p w:rsidR="00A87A9A" w:rsidRPr="00E569EF" w:rsidRDefault="00A87A9A" w:rsidP="001F5D50">
      <w:pPr>
        <w:jc w:val="both"/>
      </w:pPr>
    </w:p>
    <w:p w:rsidR="001F5D50" w:rsidRDefault="00851522" w:rsidP="001F5D50">
      <w:pPr>
        <w:jc w:val="both"/>
      </w:pPr>
      <w:r>
        <w:t xml:space="preserve">This academic year </w:t>
      </w:r>
      <w:proofErr w:type="spellStart"/>
      <w:r w:rsidR="001F5D50" w:rsidRPr="00E569EF">
        <w:t>SENCo</w:t>
      </w:r>
      <w:proofErr w:type="spellEnd"/>
      <w:r w:rsidR="001F5D50" w:rsidRPr="00E569EF">
        <w:t>, governors, individual teachers and support staff have attended the following training:</w:t>
      </w:r>
    </w:p>
    <w:p w:rsidR="001F5D50" w:rsidRPr="00E569EF" w:rsidRDefault="001F5D50" w:rsidP="00851522">
      <w:pPr>
        <w:jc w:val="both"/>
      </w:pPr>
    </w:p>
    <w:p w:rsidR="00851522" w:rsidRPr="00E816FF" w:rsidRDefault="00851522" w:rsidP="001F5D50">
      <w:pPr>
        <w:numPr>
          <w:ilvl w:val="0"/>
          <w:numId w:val="29"/>
        </w:numPr>
        <w:spacing w:before="200" w:after="200"/>
        <w:contextualSpacing/>
        <w:jc w:val="both"/>
        <w:rPr>
          <w:rFonts w:eastAsia="Calibri"/>
          <w:sz w:val="20"/>
          <w:szCs w:val="20"/>
          <w:lang w:val="en-GB"/>
        </w:rPr>
      </w:pPr>
      <w:r w:rsidRPr="00E816FF">
        <w:rPr>
          <w:rFonts w:eastAsia="Calibri"/>
          <w:sz w:val="20"/>
          <w:szCs w:val="20"/>
          <w:lang w:val="en-GB"/>
        </w:rPr>
        <w:t xml:space="preserve">NASCO Award Liverpool John </w:t>
      </w:r>
      <w:proofErr w:type="spellStart"/>
      <w:r w:rsidRPr="00E816FF">
        <w:rPr>
          <w:rFonts w:eastAsia="Calibri"/>
          <w:sz w:val="20"/>
          <w:szCs w:val="20"/>
          <w:lang w:val="en-GB"/>
        </w:rPr>
        <w:t>Moores</w:t>
      </w:r>
      <w:proofErr w:type="spellEnd"/>
      <w:r w:rsidRPr="00E816FF">
        <w:rPr>
          <w:rFonts w:eastAsia="Calibri"/>
          <w:sz w:val="20"/>
          <w:szCs w:val="20"/>
          <w:lang w:val="en-GB"/>
        </w:rPr>
        <w:t xml:space="preserve"> University</w:t>
      </w:r>
    </w:p>
    <w:p w:rsidR="00851522" w:rsidRPr="00E816FF" w:rsidRDefault="00851522" w:rsidP="001F5D50">
      <w:pPr>
        <w:numPr>
          <w:ilvl w:val="0"/>
          <w:numId w:val="29"/>
        </w:numPr>
        <w:spacing w:before="200" w:after="200"/>
        <w:contextualSpacing/>
        <w:jc w:val="both"/>
        <w:rPr>
          <w:rFonts w:eastAsia="Calibri"/>
          <w:sz w:val="20"/>
          <w:szCs w:val="20"/>
          <w:lang w:val="en-GB"/>
        </w:rPr>
      </w:pPr>
      <w:r w:rsidRPr="00E816FF">
        <w:rPr>
          <w:rFonts w:eastAsia="Calibri"/>
          <w:sz w:val="20"/>
          <w:szCs w:val="20"/>
          <w:lang w:val="en-GB"/>
        </w:rPr>
        <w:t xml:space="preserve">Precision Teaching </w:t>
      </w:r>
    </w:p>
    <w:p w:rsidR="001F5D50" w:rsidRPr="00E816FF" w:rsidRDefault="001F5D50" w:rsidP="001F5D50">
      <w:pPr>
        <w:numPr>
          <w:ilvl w:val="0"/>
          <w:numId w:val="29"/>
        </w:numPr>
        <w:spacing w:before="200" w:after="200"/>
        <w:contextualSpacing/>
        <w:jc w:val="both"/>
        <w:rPr>
          <w:rFonts w:eastAsia="Calibri"/>
          <w:sz w:val="20"/>
          <w:szCs w:val="20"/>
          <w:lang w:val="en-GB"/>
        </w:rPr>
      </w:pPr>
      <w:r w:rsidRPr="00E816FF">
        <w:rPr>
          <w:rFonts w:eastAsia="Calibri"/>
          <w:sz w:val="20"/>
          <w:szCs w:val="20"/>
          <w:lang w:val="en-GB"/>
        </w:rPr>
        <w:t>Challenging Bullying and Prejudices</w:t>
      </w:r>
    </w:p>
    <w:p w:rsidR="00194D67" w:rsidRPr="00E816FF" w:rsidRDefault="00194D67" w:rsidP="001F5D50">
      <w:pPr>
        <w:numPr>
          <w:ilvl w:val="0"/>
          <w:numId w:val="29"/>
        </w:numPr>
        <w:spacing w:before="200" w:after="200"/>
        <w:contextualSpacing/>
        <w:jc w:val="both"/>
        <w:rPr>
          <w:rFonts w:eastAsia="Calibri"/>
          <w:sz w:val="20"/>
          <w:szCs w:val="20"/>
          <w:lang w:val="en-GB"/>
        </w:rPr>
      </w:pPr>
      <w:r w:rsidRPr="00E816FF">
        <w:rPr>
          <w:rFonts w:eastAsia="Calibri"/>
          <w:sz w:val="20"/>
          <w:szCs w:val="20"/>
          <w:lang w:val="en-GB"/>
        </w:rPr>
        <w:lastRenderedPageBreak/>
        <w:t>Brave the Rage</w:t>
      </w:r>
    </w:p>
    <w:p w:rsidR="00194D67" w:rsidRPr="00E816FF" w:rsidRDefault="00A87A9A" w:rsidP="001F5D50">
      <w:pPr>
        <w:numPr>
          <w:ilvl w:val="0"/>
          <w:numId w:val="29"/>
        </w:numPr>
        <w:spacing w:before="200" w:after="200"/>
        <w:contextualSpacing/>
        <w:jc w:val="both"/>
        <w:rPr>
          <w:rFonts w:eastAsia="Calibri"/>
          <w:sz w:val="20"/>
          <w:szCs w:val="20"/>
          <w:lang w:val="en-GB"/>
        </w:rPr>
      </w:pPr>
      <w:r w:rsidRPr="00E816FF">
        <w:rPr>
          <w:rFonts w:eastAsia="Calibri"/>
          <w:sz w:val="20"/>
          <w:szCs w:val="20"/>
          <w:lang w:val="en-GB"/>
        </w:rPr>
        <w:t>Nurture Theory and P</w:t>
      </w:r>
      <w:r w:rsidR="00194D67" w:rsidRPr="00E816FF">
        <w:rPr>
          <w:rFonts w:eastAsia="Calibri"/>
          <w:sz w:val="20"/>
          <w:szCs w:val="20"/>
          <w:lang w:val="en-GB"/>
        </w:rPr>
        <w:t>ractice</w:t>
      </w:r>
    </w:p>
    <w:p w:rsidR="00194D67" w:rsidRPr="00E816FF" w:rsidRDefault="00A87A9A" w:rsidP="001F5D50">
      <w:pPr>
        <w:numPr>
          <w:ilvl w:val="0"/>
          <w:numId w:val="29"/>
        </w:numPr>
        <w:spacing w:before="200" w:after="200"/>
        <w:contextualSpacing/>
        <w:jc w:val="both"/>
        <w:rPr>
          <w:rFonts w:eastAsia="Calibri"/>
          <w:sz w:val="20"/>
          <w:szCs w:val="20"/>
          <w:lang w:val="en-GB"/>
        </w:rPr>
      </w:pPr>
      <w:r w:rsidRPr="00E816FF">
        <w:rPr>
          <w:rFonts w:eastAsia="Calibri"/>
          <w:sz w:val="20"/>
          <w:szCs w:val="20"/>
          <w:lang w:val="en-GB"/>
        </w:rPr>
        <w:t>Speech and Language Blanc</w:t>
      </w:r>
      <w:r w:rsidR="00027AA2" w:rsidRPr="00E816FF">
        <w:rPr>
          <w:rFonts w:eastAsia="Calibri"/>
          <w:sz w:val="20"/>
          <w:szCs w:val="20"/>
          <w:lang w:val="en-GB"/>
        </w:rPr>
        <w:t>’</w:t>
      </w:r>
      <w:r w:rsidRPr="00E816FF">
        <w:rPr>
          <w:rFonts w:eastAsia="Calibri"/>
          <w:sz w:val="20"/>
          <w:szCs w:val="20"/>
          <w:lang w:val="en-GB"/>
        </w:rPr>
        <w:t>s Model t</w:t>
      </w:r>
      <w:r w:rsidR="00194D67" w:rsidRPr="00E816FF">
        <w:rPr>
          <w:rFonts w:eastAsia="Calibri"/>
          <w:sz w:val="20"/>
          <w:szCs w:val="20"/>
          <w:lang w:val="en-GB"/>
        </w:rPr>
        <w:t>raining</w:t>
      </w:r>
    </w:p>
    <w:p w:rsidR="00194D67" w:rsidRPr="00E816FF" w:rsidRDefault="00194D67" w:rsidP="001F5D50">
      <w:pPr>
        <w:numPr>
          <w:ilvl w:val="0"/>
          <w:numId w:val="29"/>
        </w:numPr>
        <w:spacing w:before="200" w:after="200"/>
        <w:contextualSpacing/>
        <w:jc w:val="both"/>
        <w:rPr>
          <w:rFonts w:eastAsia="Calibri"/>
          <w:sz w:val="20"/>
          <w:szCs w:val="20"/>
          <w:lang w:val="en-GB"/>
        </w:rPr>
      </w:pPr>
      <w:r w:rsidRPr="00E816FF">
        <w:rPr>
          <w:rFonts w:eastAsia="Calibri"/>
          <w:sz w:val="20"/>
          <w:szCs w:val="20"/>
          <w:lang w:val="en-GB"/>
        </w:rPr>
        <w:t xml:space="preserve">Speech and Language PECS training </w:t>
      </w:r>
    </w:p>
    <w:p w:rsidR="001F5D50" w:rsidRPr="00E816FF" w:rsidRDefault="001F5D50" w:rsidP="001F5D50">
      <w:pPr>
        <w:numPr>
          <w:ilvl w:val="0"/>
          <w:numId w:val="29"/>
        </w:numPr>
        <w:spacing w:before="200" w:after="200"/>
        <w:contextualSpacing/>
        <w:jc w:val="both"/>
        <w:rPr>
          <w:rFonts w:eastAsia="Calibri"/>
          <w:sz w:val="20"/>
          <w:szCs w:val="20"/>
          <w:lang w:val="en-GB"/>
        </w:rPr>
      </w:pPr>
      <w:r w:rsidRPr="00E816FF">
        <w:rPr>
          <w:rFonts w:eastAsia="Calibri"/>
          <w:sz w:val="20"/>
          <w:szCs w:val="20"/>
          <w:lang w:val="en-GB"/>
        </w:rPr>
        <w:t xml:space="preserve">Yoga and Relaxation </w:t>
      </w:r>
    </w:p>
    <w:p w:rsidR="00A87A9A" w:rsidRPr="00E816FF" w:rsidRDefault="00A87A9A" w:rsidP="001F5D50">
      <w:pPr>
        <w:numPr>
          <w:ilvl w:val="0"/>
          <w:numId w:val="29"/>
        </w:numPr>
        <w:spacing w:before="200" w:after="200"/>
        <w:contextualSpacing/>
        <w:jc w:val="both"/>
        <w:rPr>
          <w:rFonts w:eastAsia="Calibri"/>
          <w:sz w:val="20"/>
          <w:szCs w:val="20"/>
          <w:lang w:val="en-GB"/>
        </w:rPr>
      </w:pPr>
      <w:r w:rsidRPr="00E816FF">
        <w:rPr>
          <w:rFonts w:eastAsia="Calibri"/>
          <w:sz w:val="20"/>
          <w:szCs w:val="20"/>
          <w:lang w:val="en-GB"/>
        </w:rPr>
        <w:t>Heart Prayer</w:t>
      </w:r>
    </w:p>
    <w:p w:rsidR="001F5D50" w:rsidRPr="00E816FF" w:rsidRDefault="001F5D50" w:rsidP="001F5D50">
      <w:pPr>
        <w:numPr>
          <w:ilvl w:val="0"/>
          <w:numId w:val="29"/>
        </w:numPr>
        <w:spacing w:before="200" w:after="200"/>
        <w:contextualSpacing/>
        <w:jc w:val="both"/>
        <w:rPr>
          <w:rFonts w:eastAsia="Calibri"/>
          <w:sz w:val="20"/>
          <w:szCs w:val="20"/>
          <w:lang w:val="en-GB"/>
        </w:rPr>
      </w:pPr>
      <w:r w:rsidRPr="00E816FF">
        <w:rPr>
          <w:rFonts w:eastAsia="Calibri"/>
          <w:sz w:val="20"/>
          <w:szCs w:val="20"/>
          <w:lang w:val="en-GB"/>
        </w:rPr>
        <w:t>ASD and ADHD Friendly Classrooms</w:t>
      </w:r>
    </w:p>
    <w:p w:rsidR="001F5D50" w:rsidRPr="00E816FF" w:rsidRDefault="001F5D50" w:rsidP="001F5D50">
      <w:pPr>
        <w:numPr>
          <w:ilvl w:val="0"/>
          <w:numId w:val="29"/>
        </w:numPr>
        <w:spacing w:before="200" w:after="200"/>
        <w:contextualSpacing/>
        <w:jc w:val="both"/>
        <w:rPr>
          <w:rFonts w:eastAsia="Calibri"/>
          <w:sz w:val="20"/>
          <w:szCs w:val="20"/>
          <w:lang w:val="en-GB"/>
        </w:rPr>
      </w:pPr>
      <w:r w:rsidRPr="00E816FF">
        <w:rPr>
          <w:rFonts w:eastAsia="Calibri"/>
          <w:sz w:val="20"/>
          <w:szCs w:val="20"/>
          <w:lang w:val="en-GB"/>
        </w:rPr>
        <w:t>Supporting a child with attachment difficulties</w:t>
      </w:r>
    </w:p>
    <w:p w:rsidR="001F5D50" w:rsidRPr="00E816FF" w:rsidRDefault="001F5D50" w:rsidP="001F5D50">
      <w:pPr>
        <w:numPr>
          <w:ilvl w:val="0"/>
          <w:numId w:val="29"/>
        </w:numPr>
        <w:spacing w:before="200" w:after="200"/>
        <w:contextualSpacing/>
        <w:jc w:val="both"/>
        <w:rPr>
          <w:rFonts w:eastAsia="Calibri"/>
          <w:sz w:val="20"/>
          <w:szCs w:val="20"/>
          <w:lang w:val="en-GB"/>
        </w:rPr>
      </w:pPr>
      <w:r w:rsidRPr="00E816FF">
        <w:rPr>
          <w:rFonts w:eastAsia="Calibri"/>
          <w:sz w:val="20"/>
          <w:szCs w:val="20"/>
          <w:lang w:val="en-GB"/>
        </w:rPr>
        <w:t>EAL and SEND</w:t>
      </w:r>
    </w:p>
    <w:p w:rsidR="001F5D50" w:rsidRPr="00E816FF" w:rsidRDefault="001F5D50" w:rsidP="001F5D50">
      <w:pPr>
        <w:numPr>
          <w:ilvl w:val="0"/>
          <w:numId w:val="29"/>
        </w:numPr>
        <w:spacing w:before="200" w:after="200"/>
        <w:contextualSpacing/>
        <w:jc w:val="both"/>
        <w:rPr>
          <w:rFonts w:eastAsia="Calibri"/>
          <w:sz w:val="20"/>
          <w:szCs w:val="20"/>
          <w:lang w:val="en-GB"/>
        </w:rPr>
      </w:pPr>
      <w:r w:rsidRPr="00E816FF">
        <w:rPr>
          <w:rFonts w:eastAsia="Calibri"/>
          <w:sz w:val="20"/>
          <w:szCs w:val="20"/>
          <w:lang w:val="en-GB"/>
        </w:rPr>
        <w:t xml:space="preserve">Lego Therapy </w:t>
      </w:r>
    </w:p>
    <w:p w:rsidR="001F5D50" w:rsidRPr="00E816FF" w:rsidRDefault="001F5D50" w:rsidP="001F5D50">
      <w:pPr>
        <w:numPr>
          <w:ilvl w:val="0"/>
          <w:numId w:val="29"/>
        </w:numPr>
        <w:spacing w:before="200" w:after="200"/>
        <w:contextualSpacing/>
        <w:jc w:val="both"/>
        <w:rPr>
          <w:rFonts w:eastAsia="Calibri"/>
          <w:sz w:val="20"/>
          <w:szCs w:val="20"/>
          <w:lang w:val="en-GB"/>
        </w:rPr>
      </w:pPr>
      <w:r w:rsidRPr="00E816FF">
        <w:rPr>
          <w:rFonts w:eastAsia="Calibri" w:cs="Arial"/>
          <w:sz w:val="20"/>
          <w:szCs w:val="20"/>
          <w:lang w:val="de-DE"/>
        </w:rPr>
        <w:t xml:space="preserve">Whole School PIVATS 5 </w:t>
      </w:r>
      <w:r w:rsidR="00851522" w:rsidRPr="00E816FF">
        <w:rPr>
          <w:rFonts w:eastAsia="Calibri" w:cs="Arial"/>
          <w:sz w:val="20"/>
          <w:szCs w:val="20"/>
          <w:lang w:val="de-DE"/>
        </w:rPr>
        <w:t xml:space="preserve">Refresher </w:t>
      </w:r>
      <w:r w:rsidRPr="00E816FF">
        <w:rPr>
          <w:rFonts w:eastAsia="Calibri" w:cs="Arial"/>
          <w:sz w:val="20"/>
          <w:szCs w:val="20"/>
          <w:lang w:val="de-DE"/>
        </w:rPr>
        <w:t>Training</w:t>
      </w:r>
    </w:p>
    <w:p w:rsidR="00851522" w:rsidRPr="00E816FF" w:rsidRDefault="00851522" w:rsidP="001F5D50">
      <w:pPr>
        <w:numPr>
          <w:ilvl w:val="0"/>
          <w:numId w:val="29"/>
        </w:numPr>
        <w:spacing w:before="200" w:after="200"/>
        <w:contextualSpacing/>
        <w:jc w:val="both"/>
        <w:rPr>
          <w:rFonts w:eastAsia="Calibri"/>
          <w:sz w:val="20"/>
          <w:szCs w:val="20"/>
          <w:lang w:val="en-GB"/>
        </w:rPr>
      </w:pPr>
      <w:r w:rsidRPr="00E816FF">
        <w:rPr>
          <w:rFonts w:eastAsia="Calibri" w:cs="Arial"/>
          <w:sz w:val="20"/>
          <w:szCs w:val="20"/>
          <w:lang w:val="de-DE"/>
        </w:rPr>
        <w:t xml:space="preserve">SENCO Briefings </w:t>
      </w:r>
    </w:p>
    <w:p w:rsidR="00A87A9A" w:rsidRPr="00E816FF" w:rsidRDefault="00A87A9A" w:rsidP="001F5D50">
      <w:pPr>
        <w:numPr>
          <w:ilvl w:val="0"/>
          <w:numId w:val="29"/>
        </w:numPr>
        <w:spacing w:before="200" w:after="200"/>
        <w:contextualSpacing/>
        <w:jc w:val="both"/>
        <w:rPr>
          <w:rFonts w:eastAsia="Calibri"/>
          <w:sz w:val="20"/>
          <w:szCs w:val="20"/>
          <w:lang w:val="en-GB"/>
        </w:rPr>
      </w:pPr>
      <w:r w:rsidRPr="00E816FF">
        <w:rPr>
          <w:rFonts w:eastAsia="Calibri" w:cs="Arial"/>
          <w:sz w:val="20"/>
          <w:szCs w:val="20"/>
          <w:lang w:val="de-DE"/>
        </w:rPr>
        <w:t>Theraplay</w:t>
      </w:r>
    </w:p>
    <w:p w:rsidR="00851522" w:rsidRPr="00E816FF" w:rsidRDefault="00A87A9A" w:rsidP="001F5D50">
      <w:pPr>
        <w:numPr>
          <w:ilvl w:val="0"/>
          <w:numId w:val="29"/>
        </w:numPr>
        <w:spacing w:before="200" w:after="200"/>
        <w:contextualSpacing/>
        <w:jc w:val="both"/>
        <w:rPr>
          <w:rFonts w:eastAsia="Calibri"/>
          <w:sz w:val="20"/>
          <w:szCs w:val="20"/>
          <w:lang w:val="en-GB"/>
        </w:rPr>
      </w:pPr>
      <w:r w:rsidRPr="00E816FF">
        <w:rPr>
          <w:rFonts w:eastAsia="Calibri" w:cs="Arial"/>
          <w:sz w:val="20"/>
          <w:szCs w:val="20"/>
          <w:lang w:val="de-DE"/>
        </w:rPr>
        <w:t>Tree of Life CAMHS t</w:t>
      </w:r>
      <w:r w:rsidR="00851522" w:rsidRPr="00E816FF">
        <w:rPr>
          <w:rFonts w:eastAsia="Calibri" w:cs="Arial"/>
          <w:sz w:val="20"/>
          <w:szCs w:val="20"/>
          <w:lang w:val="de-DE"/>
        </w:rPr>
        <w:t xml:space="preserve">raining </w:t>
      </w:r>
    </w:p>
    <w:p w:rsidR="00851522" w:rsidRPr="00E816FF" w:rsidRDefault="00851522" w:rsidP="001F5D50">
      <w:pPr>
        <w:numPr>
          <w:ilvl w:val="0"/>
          <w:numId w:val="29"/>
        </w:numPr>
        <w:spacing w:before="200" w:after="200"/>
        <w:contextualSpacing/>
        <w:jc w:val="both"/>
        <w:rPr>
          <w:rFonts w:eastAsia="Calibri"/>
          <w:sz w:val="20"/>
          <w:szCs w:val="20"/>
          <w:lang w:val="en-GB"/>
        </w:rPr>
      </w:pPr>
      <w:r w:rsidRPr="00E816FF">
        <w:rPr>
          <w:rFonts w:eastAsia="Calibri" w:cs="Arial"/>
          <w:sz w:val="20"/>
          <w:szCs w:val="20"/>
          <w:lang w:val="de-DE"/>
        </w:rPr>
        <w:t xml:space="preserve">Theraputic Strategies </w:t>
      </w:r>
    </w:p>
    <w:p w:rsidR="00851522" w:rsidRPr="00E816FF" w:rsidRDefault="00A87A9A" w:rsidP="001F5D50">
      <w:pPr>
        <w:numPr>
          <w:ilvl w:val="0"/>
          <w:numId w:val="29"/>
        </w:numPr>
        <w:spacing w:before="200" w:after="200"/>
        <w:contextualSpacing/>
        <w:jc w:val="both"/>
        <w:rPr>
          <w:rFonts w:eastAsia="Calibri"/>
          <w:sz w:val="20"/>
          <w:szCs w:val="20"/>
          <w:lang w:val="en-GB"/>
        </w:rPr>
      </w:pPr>
      <w:r w:rsidRPr="00E816FF">
        <w:rPr>
          <w:rFonts w:eastAsia="Calibri" w:cs="Arial"/>
          <w:sz w:val="20"/>
          <w:szCs w:val="20"/>
          <w:lang w:val="de-DE"/>
        </w:rPr>
        <w:t>EHAT Workforce t</w:t>
      </w:r>
      <w:r w:rsidR="00851522" w:rsidRPr="00E816FF">
        <w:rPr>
          <w:rFonts w:eastAsia="Calibri" w:cs="Arial"/>
          <w:sz w:val="20"/>
          <w:szCs w:val="20"/>
          <w:lang w:val="de-DE"/>
        </w:rPr>
        <w:t xml:space="preserve">raining </w:t>
      </w:r>
    </w:p>
    <w:p w:rsidR="00851522" w:rsidRPr="00E816FF" w:rsidRDefault="00851522" w:rsidP="001F5D50">
      <w:pPr>
        <w:numPr>
          <w:ilvl w:val="0"/>
          <w:numId w:val="29"/>
        </w:numPr>
        <w:spacing w:before="200" w:after="200"/>
        <w:contextualSpacing/>
        <w:jc w:val="both"/>
        <w:rPr>
          <w:rFonts w:eastAsia="Calibri"/>
          <w:sz w:val="20"/>
          <w:szCs w:val="20"/>
          <w:lang w:val="en-GB"/>
        </w:rPr>
      </w:pPr>
      <w:r w:rsidRPr="00E816FF">
        <w:rPr>
          <w:rFonts w:eastAsia="Calibri" w:cs="Arial"/>
          <w:sz w:val="20"/>
          <w:szCs w:val="20"/>
          <w:lang w:val="de-DE"/>
        </w:rPr>
        <w:t xml:space="preserve">SENCO Briefings </w:t>
      </w:r>
    </w:p>
    <w:p w:rsidR="001F5D50" w:rsidRPr="00E569EF" w:rsidRDefault="001F5D50" w:rsidP="001F5D50">
      <w:pPr>
        <w:spacing w:before="200" w:after="200"/>
        <w:ind w:left="765"/>
        <w:contextualSpacing/>
        <w:jc w:val="both"/>
        <w:rPr>
          <w:rFonts w:ascii="Calibri" w:eastAsia="Calibri" w:hAnsi="Calibri"/>
          <w:lang w:val="en-GB"/>
        </w:rPr>
      </w:pPr>
    </w:p>
    <w:p w:rsidR="001F5D50" w:rsidRPr="00E569EF" w:rsidRDefault="00E816FF" w:rsidP="001F5D50">
      <w:r>
        <w:t xml:space="preserve">School </w:t>
      </w:r>
      <w:proofErr w:type="spellStart"/>
      <w:r w:rsidR="001F5D50" w:rsidRPr="00E569EF">
        <w:t>SENCo</w:t>
      </w:r>
      <w:proofErr w:type="spellEnd"/>
      <w:r w:rsidR="00851522">
        <w:t xml:space="preserve"> has</w:t>
      </w:r>
      <w:r w:rsidR="001F5D50" w:rsidRPr="00E569EF">
        <w:t xml:space="preserve"> completed the </w:t>
      </w:r>
      <w:r w:rsidR="001F5D50" w:rsidRPr="00E569EF">
        <w:rPr>
          <w:rFonts w:cs="Arial"/>
          <w:lang w:val="de-DE"/>
        </w:rPr>
        <w:t>National Award for SENCO (PG Cert)</w:t>
      </w:r>
      <w:r w:rsidR="001F5D50" w:rsidRPr="00E569EF">
        <w:rPr>
          <w:rFonts w:cs="Arial"/>
          <w:b/>
          <w:lang w:val="de-DE"/>
        </w:rPr>
        <w:t xml:space="preserve"> </w:t>
      </w:r>
      <w:r w:rsidR="00A87A9A" w:rsidRPr="00A87A9A">
        <w:rPr>
          <w:rFonts w:cs="Arial"/>
          <w:lang w:val="de-DE"/>
        </w:rPr>
        <w:t xml:space="preserve">with Liverpool John Moores University </w:t>
      </w:r>
      <w:r w:rsidR="00851522" w:rsidRPr="00A87A9A">
        <w:rPr>
          <w:rFonts w:cs="Arial"/>
          <w:lang w:val="de-DE"/>
        </w:rPr>
        <w:t>and has</w:t>
      </w:r>
      <w:r w:rsidR="001F5D50" w:rsidRPr="00A87A9A">
        <w:rPr>
          <w:rFonts w:cs="Arial"/>
          <w:lang w:val="de-DE"/>
        </w:rPr>
        <w:t xml:space="preserve"> attended </w:t>
      </w:r>
      <w:r w:rsidR="001F5D50" w:rsidRPr="00A87A9A">
        <w:t>numerous training sessions based</w:t>
      </w:r>
      <w:r w:rsidR="001F5D50" w:rsidRPr="00E569EF">
        <w:t xml:space="preserve"> on embedding recent government legislation</w:t>
      </w:r>
      <w:r w:rsidR="001F5D50">
        <w:t>. This information has been cascaded back</w:t>
      </w:r>
      <w:r w:rsidR="001F5D50" w:rsidRPr="00E569EF">
        <w:t xml:space="preserve"> to staff in school</w:t>
      </w:r>
      <w:r w:rsidR="001F5D50">
        <w:t xml:space="preserve"> through in house training. </w:t>
      </w:r>
      <w:r w:rsidR="001F5D50" w:rsidRPr="00E569EF">
        <w:t xml:space="preserve"> </w:t>
      </w:r>
    </w:p>
    <w:p w:rsidR="001F5D50" w:rsidRPr="00E569EF" w:rsidRDefault="001F5D50" w:rsidP="001F5D50">
      <w:pPr>
        <w:jc w:val="both"/>
      </w:pPr>
    </w:p>
    <w:p w:rsidR="001F5D50" w:rsidRPr="00E569EF" w:rsidRDefault="001F5D50" w:rsidP="001F5D50">
      <w:pPr>
        <w:jc w:val="both"/>
      </w:pPr>
      <w:r w:rsidRPr="00E569EF">
        <w:t xml:space="preserve">Specialist expertise is </w:t>
      </w:r>
      <w:r w:rsidR="00A87A9A">
        <w:t xml:space="preserve">routinely </w:t>
      </w:r>
      <w:r w:rsidRPr="00E569EF">
        <w:t>gained from external services such as Abbots Lea, Educational Psychologists, Clifford Holroyd, SENISS (Special Educational Needs Inclusion Support Service) and CAMHS (Child and Adolescent Mental Health Service).</w:t>
      </w:r>
    </w:p>
    <w:p w:rsidR="001F5D50" w:rsidRPr="00E569EF" w:rsidRDefault="001F5D50" w:rsidP="001F5D50">
      <w:pPr>
        <w:jc w:val="both"/>
      </w:pPr>
    </w:p>
    <w:p w:rsidR="00A87A9A" w:rsidRPr="00A87A9A" w:rsidRDefault="00A87A9A" w:rsidP="00A87A9A">
      <w:pPr>
        <w:pStyle w:val="Default"/>
        <w:rPr>
          <w:rFonts w:ascii="Century Gothic" w:hAnsi="Century Gothic"/>
        </w:rPr>
      </w:pPr>
      <w:r w:rsidRPr="00A87A9A">
        <w:rPr>
          <w:rFonts w:ascii="Century Gothic" w:hAnsi="Century Gothic"/>
        </w:rPr>
        <w:t xml:space="preserve">The Governors, Head Teacher and Senior Leadership Team are committed to the ongoing professional development of all staff. </w:t>
      </w:r>
    </w:p>
    <w:p w:rsidR="001F5D50" w:rsidRPr="00E569EF" w:rsidRDefault="001F5D50" w:rsidP="001F5D50">
      <w:pPr>
        <w:jc w:val="both"/>
      </w:pPr>
    </w:p>
    <w:p w:rsidR="001F5D50" w:rsidRPr="00E569EF" w:rsidRDefault="001F5D50" w:rsidP="001F5D50">
      <w:pPr>
        <w:jc w:val="both"/>
        <w:rPr>
          <w:b/>
        </w:rPr>
      </w:pPr>
      <w:r w:rsidRPr="00E569EF">
        <w:rPr>
          <w:b/>
        </w:rPr>
        <w:t xml:space="preserve"> Allocation of Resources</w:t>
      </w:r>
    </w:p>
    <w:p w:rsidR="001F5D50" w:rsidRPr="00E569EF" w:rsidRDefault="001F5D50" w:rsidP="001F5D50">
      <w:pPr>
        <w:jc w:val="both"/>
        <w:rPr>
          <w:b/>
        </w:rPr>
      </w:pPr>
    </w:p>
    <w:p w:rsidR="001F5D50" w:rsidRDefault="00A87A9A" w:rsidP="001F5D50">
      <w:pPr>
        <w:ind w:left="45"/>
        <w:jc w:val="both"/>
      </w:pPr>
      <w:r>
        <w:t>Funding is</w:t>
      </w:r>
      <w:r w:rsidRPr="00A87A9A">
        <w:t xml:space="preserve"> </w:t>
      </w:r>
      <w:proofErr w:type="spellStart"/>
      <w:r w:rsidRPr="00A87A9A">
        <w:t>utilised</w:t>
      </w:r>
      <w:proofErr w:type="spellEnd"/>
      <w:r w:rsidRPr="00A87A9A">
        <w:t xml:space="preserve"> to support progress over time for identified children.</w:t>
      </w:r>
      <w:r>
        <w:rPr>
          <w:sz w:val="20"/>
          <w:szCs w:val="20"/>
        </w:rPr>
        <w:t xml:space="preserve"> </w:t>
      </w:r>
      <w:r w:rsidR="001F5D50" w:rsidRPr="00E569EF">
        <w:t xml:space="preserve">Resources are allocated effectively according to the need of groups and individuals. </w:t>
      </w:r>
      <w:r>
        <w:t xml:space="preserve">For example the </w:t>
      </w:r>
      <w:r w:rsidRPr="00E569EF">
        <w:t>purchases of service level agreements with providers of specialist support</w:t>
      </w:r>
      <w:r w:rsidR="001F5D50" w:rsidRPr="00E569EF">
        <w:t xml:space="preserve">. Where appropriate, we </w:t>
      </w:r>
      <w:r>
        <w:t xml:space="preserve">may </w:t>
      </w:r>
      <w:r w:rsidR="001F5D50" w:rsidRPr="00E569EF">
        <w:t xml:space="preserve">meet a child’s individual needs by delivery of </w:t>
      </w:r>
      <w:r w:rsidR="00CE460B">
        <w:t xml:space="preserve">a </w:t>
      </w:r>
      <w:r w:rsidR="001F5D50" w:rsidRPr="00E569EF">
        <w:t xml:space="preserve">specific </w:t>
      </w:r>
      <w:proofErr w:type="spellStart"/>
      <w:r w:rsidR="00CE460B">
        <w:t>programme</w:t>
      </w:r>
      <w:proofErr w:type="spellEnd"/>
      <w:r w:rsidR="00CE460B">
        <w:t xml:space="preserve"> and/or intervention;</w:t>
      </w:r>
      <w:r>
        <w:t xml:space="preserve"> this may require additional </w:t>
      </w:r>
      <w:r w:rsidR="00CE460B">
        <w:t xml:space="preserve">resources, </w:t>
      </w:r>
      <w:r>
        <w:t>teachers and/or support staff</w:t>
      </w:r>
      <w:r w:rsidR="001F5D50" w:rsidRPr="00E569EF">
        <w:t>. Funding is also used for whole schoo</w:t>
      </w:r>
      <w:r>
        <w:t xml:space="preserve">l and individual staff training. </w:t>
      </w:r>
    </w:p>
    <w:p w:rsidR="00E816FF" w:rsidRDefault="00E816FF" w:rsidP="00CE460B">
      <w:pPr>
        <w:pStyle w:val="Default"/>
        <w:rPr>
          <w:rFonts w:ascii="Century Gothic" w:hAnsi="Century Gothic"/>
        </w:rPr>
      </w:pPr>
    </w:p>
    <w:p w:rsidR="00CE460B" w:rsidRPr="00CE460B" w:rsidRDefault="00CE460B" w:rsidP="00CE460B">
      <w:pPr>
        <w:pStyle w:val="Default"/>
        <w:rPr>
          <w:rFonts w:ascii="Century Gothic" w:hAnsi="Century Gothic"/>
        </w:rPr>
      </w:pPr>
      <w:r w:rsidRPr="00CE460B">
        <w:rPr>
          <w:rFonts w:ascii="Century Gothic" w:hAnsi="Century Gothic"/>
        </w:rPr>
        <w:t xml:space="preserve">We believe this will benefit our pupils and their families in the following ways: </w:t>
      </w:r>
    </w:p>
    <w:p w:rsidR="00CE460B" w:rsidRPr="00CE460B" w:rsidRDefault="00CE460B" w:rsidP="00CE460B">
      <w:pPr>
        <w:pStyle w:val="Default"/>
        <w:numPr>
          <w:ilvl w:val="0"/>
          <w:numId w:val="35"/>
        </w:numPr>
        <w:spacing w:after="53"/>
        <w:rPr>
          <w:rFonts w:ascii="Century Gothic" w:hAnsi="Century Gothic"/>
        </w:rPr>
      </w:pPr>
      <w:r w:rsidRPr="00CE460B">
        <w:rPr>
          <w:rFonts w:ascii="Century Gothic" w:hAnsi="Century Gothic"/>
        </w:rPr>
        <w:lastRenderedPageBreak/>
        <w:t xml:space="preserve">Ensuring ‘Early Identification’ </w:t>
      </w:r>
    </w:p>
    <w:p w:rsidR="00CE460B" w:rsidRDefault="00CE460B" w:rsidP="00CE460B">
      <w:pPr>
        <w:pStyle w:val="Default"/>
        <w:numPr>
          <w:ilvl w:val="0"/>
          <w:numId w:val="35"/>
        </w:numPr>
        <w:spacing w:after="53"/>
        <w:rPr>
          <w:rFonts w:ascii="Century Gothic" w:hAnsi="Century Gothic"/>
        </w:rPr>
      </w:pPr>
      <w:r w:rsidRPr="00CE460B">
        <w:rPr>
          <w:rFonts w:ascii="Century Gothic" w:hAnsi="Century Gothic"/>
        </w:rPr>
        <w:t>Timely and targeted intervention</w:t>
      </w:r>
      <w:r>
        <w:rPr>
          <w:rFonts w:ascii="Century Gothic" w:hAnsi="Century Gothic"/>
        </w:rPr>
        <w:t>s and programmes</w:t>
      </w:r>
    </w:p>
    <w:p w:rsidR="00CE460B" w:rsidRPr="00CE460B" w:rsidRDefault="00484FC1" w:rsidP="00CE460B">
      <w:pPr>
        <w:pStyle w:val="Default"/>
        <w:numPr>
          <w:ilvl w:val="0"/>
          <w:numId w:val="35"/>
        </w:numPr>
        <w:spacing w:after="53"/>
        <w:rPr>
          <w:rFonts w:ascii="Century Gothic" w:hAnsi="Century Gothic"/>
        </w:rPr>
      </w:pPr>
      <w:r>
        <w:rPr>
          <w:rFonts w:ascii="Century Gothic" w:hAnsi="Century Gothic"/>
        </w:rPr>
        <w:t>Access to our Personalised Learning C</w:t>
      </w:r>
      <w:bookmarkStart w:id="0" w:name="_GoBack"/>
      <w:bookmarkEnd w:id="0"/>
      <w:r w:rsidR="00CE460B">
        <w:rPr>
          <w:rFonts w:ascii="Century Gothic" w:hAnsi="Century Gothic"/>
        </w:rPr>
        <w:t xml:space="preserve">entre </w:t>
      </w:r>
    </w:p>
    <w:p w:rsidR="00CE460B" w:rsidRPr="00CE460B" w:rsidRDefault="00CE460B" w:rsidP="00CE460B">
      <w:pPr>
        <w:pStyle w:val="Default"/>
        <w:numPr>
          <w:ilvl w:val="0"/>
          <w:numId w:val="35"/>
        </w:numPr>
        <w:spacing w:after="53"/>
        <w:rPr>
          <w:rFonts w:ascii="Century Gothic" w:hAnsi="Century Gothic"/>
        </w:rPr>
      </w:pPr>
      <w:r w:rsidRPr="00CE460B">
        <w:rPr>
          <w:rFonts w:ascii="Century Gothic" w:hAnsi="Century Gothic"/>
        </w:rPr>
        <w:t xml:space="preserve">Ensuring ‘Person Centred’ planning and provision </w:t>
      </w:r>
    </w:p>
    <w:p w:rsidR="00CE460B" w:rsidRDefault="00CE460B" w:rsidP="00CE460B">
      <w:pPr>
        <w:pStyle w:val="Default"/>
        <w:numPr>
          <w:ilvl w:val="0"/>
          <w:numId w:val="35"/>
        </w:numPr>
        <w:rPr>
          <w:rFonts w:ascii="Century Gothic" w:hAnsi="Century Gothic"/>
        </w:rPr>
      </w:pPr>
      <w:r w:rsidRPr="00CE460B">
        <w:rPr>
          <w:rFonts w:ascii="Century Gothic" w:hAnsi="Century Gothic"/>
        </w:rPr>
        <w:t>Relevant staff training ensu</w:t>
      </w:r>
      <w:r>
        <w:rPr>
          <w:rFonts w:ascii="Century Gothic" w:hAnsi="Century Gothic"/>
        </w:rPr>
        <w:t>ring highest quality provision</w:t>
      </w:r>
      <w:r w:rsidRPr="00CE460B">
        <w:rPr>
          <w:rFonts w:ascii="Century Gothic" w:hAnsi="Century Gothic"/>
        </w:rPr>
        <w:t xml:space="preserve"> </w:t>
      </w:r>
    </w:p>
    <w:p w:rsidR="00E816FF" w:rsidRPr="00CE460B" w:rsidRDefault="00E816FF" w:rsidP="00E816FF">
      <w:pPr>
        <w:pStyle w:val="Default"/>
        <w:ind w:left="720"/>
        <w:rPr>
          <w:rFonts w:ascii="Century Gothic" w:hAnsi="Century Gothic"/>
        </w:rPr>
      </w:pPr>
    </w:p>
    <w:p w:rsidR="001F5D50" w:rsidRPr="00E569EF" w:rsidRDefault="001F5D50" w:rsidP="001F5D50">
      <w:pPr>
        <w:jc w:val="both"/>
        <w:rPr>
          <w:b/>
        </w:rPr>
      </w:pPr>
      <w:r w:rsidRPr="00E569EF">
        <w:rPr>
          <w:b/>
        </w:rPr>
        <w:t>Transfers between Phases of Education for Children with Special Educational Needs</w:t>
      </w:r>
    </w:p>
    <w:p w:rsidR="001F5D50" w:rsidRPr="00E569EF" w:rsidRDefault="001F5D50" w:rsidP="001F5D50">
      <w:pPr>
        <w:jc w:val="both"/>
        <w:rPr>
          <w:b/>
        </w:rPr>
      </w:pPr>
    </w:p>
    <w:p w:rsidR="001F5D50" w:rsidRPr="00E569EF" w:rsidRDefault="00CE460B" w:rsidP="001F5D50">
      <w:pPr>
        <w:jc w:val="both"/>
      </w:pPr>
      <w:r w:rsidRPr="00CE460B">
        <w:t>There are rigorous procedures and strategies in place to support children in transition.</w:t>
      </w:r>
      <w:r>
        <w:rPr>
          <w:sz w:val="20"/>
          <w:szCs w:val="20"/>
        </w:rPr>
        <w:t xml:space="preserve"> </w:t>
      </w:r>
      <w:r w:rsidR="001F5D50" w:rsidRPr="00E569EF">
        <w:t xml:space="preserve">If your child is moving to another school we will contact the school </w:t>
      </w:r>
      <w:proofErr w:type="spellStart"/>
      <w:r w:rsidR="001F5D50" w:rsidRPr="00E569EF">
        <w:t>SENCo</w:t>
      </w:r>
      <w:proofErr w:type="spellEnd"/>
      <w:r w:rsidR="001F5D50" w:rsidRPr="00E569EF">
        <w:t xml:space="preserve"> and ensure he/she knows about any special arrangements or support that need to be made for your child. Where possible, a planning meeting will take place with the </w:t>
      </w:r>
      <w:proofErr w:type="spellStart"/>
      <w:r w:rsidR="001F5D50" w:rsidRPr="00E569EF">
        <w:t>SENCo</w:t>
      </w:r>
      <w:proofErr w:type="spellEnd"/>
      <w:r w:rsidR="001F5D50" w:rsidRPr="00E569EF">
        <w:t xml:space="preserve"> from the new school. We will make sure that all records about your child are passed on as soon as possible.</w:t>
      </w:r>
    </w:p>
    <w:p w:rsidR="001F5D50" w:rsidRPr="00E569EF" w:rsidRDefault="001F5D50" w:rsidP="001F5D50">
      <w:pPr>
        <w:jc w:val="both"/>
      </w:pPr>
    </w:p>
    <w:p w:rsidR="001F5D50" w:rsidRPr="00E569EF" w:rsidRDefault="001F5D50" w:rsidP="001F5D50">
      <w:pPr>
        <w:jc w:val="both"/>
      </w:pPr>
      <w:r w:rsidRPr="00E569EF">
        <w:t>If your child is moving into the next year group</w:t>
      </w:r>
      <w:r>
        <w:t>,</w:t>
      </w:r>
      <w:r w:rsidRPr="00E569EF">
        <w:t xml:space="preserve"> transfer meetings will take place in the summer term, where parents and children have the opportunity to meet their new teacher and visit their new classroom. Information will be passed on to the new class teacher in advance. </w:t>
      </w:r>
    </w:p>
    <w:p w:rsidR="001F5D50" w:rsidRPr="00E569EF" w:rsidRDefault="001F5D50" w:rsidP="001F5D50">
      <w:pPr>
        <w:jc w:val="both"/>
        <w:rPr>
          <w:sz w:val="16"/>
          <w:szCs w:val="16"/>
        </w:rPr>
      </w:pPr>
    </w:p>
    <w:p w:rsidR="001F5D50" w:rsidRPr="00E569EF" w:rsidRDefault="001F5D50" w:rsidP="001F5D50">
      <w:pPr>
        <w:jc w:val="both"/>
      </w:pPr>
      <w:r w:rsidRPr="00E569EF">
        <w:t xml:space="preserve">If your child is moving on to Secondary School then the </w:t>
      </w:r>
      <w:proofErr w:type="spellStart"/>
      <w:r w:rsidRPr="00E569EF">
        <w:t>SENCo</w:t>
      </w:r>
      <w:proofErr w:type="spellEnd"/>
      <w:r w:rsidRPr="00E569EF">
        <w:t xml:space="preserve"> will discuss the specific needs of your child with the </w:t>
      </w:r>
      <w:proofErr w:type="spellStart"/>
      <w:r w:rsidRPr="00E569EF">
        <w:t>SENCo</w:t>
      </w:r>
      <w:proofErr w:type="spellEnd"/>
      <w:r w:rsidRPr="00E569EF">
        <w:t xml:space="preserve"> of the child’s secondary school. We will make sure that all records about your child are passed on as soon as possible.  Where possible we would advise you and your child to arrange to visit their new school on several occasions and attend any summer school or taster sessions that the school can offer. </w:t>
      </w:r>
    </w:p>
    <w:p w:rsidR="001F5D50" w:rsidRPr="00E569EF" w:rsidRDefault="001F5D50" w:rsidP="001F5D50">
      <w:pPr>
        <w:jc w:val="both"/>
      </w:pPr>
    </w:p>
    <w:p w:rsidR="001F5D50" w:rsidRPr="00E569EF" w:rsidRDefault="001F5D50" w:rsidP="001F5D50">
      <w:pPr>
        <w:jc w:val="both"/>
        <w:rPr>
          <w:b/>
        </w:rPr>
      </w:pPr>
      <w:r w:rsidRPr="00E569EF">
        <w:rPr>
          <w:b/>
        </w:rPr>
        <w:t>SEND Pupils Involvement in Wider Aspects of School Life</w:t>
      </w:r>
    </w:p>
    <w:p w:rsidR="001F5D50" w:rsidRDefault="00CE460B" w:rsidP="001F5D50">
      <w:pPr>
        <w:jc w:val="both"/>
      </w:pPr>
      <w:r>
        <w:t>44</w:t>
      </w:r>
      <w:r w:rsidR="001F5D50" w:rsidRPr="00E569EF">
        <w:t xml:space="preserve">% of pupils identified as SEND Support have participated in extra-curricular activities in the last year. These have included football, basketball, </w:t>
      </w:r>
      <w:r w:rsidR="007F6BC6">
        <w:t xml:space="preserve">swimming, new age curling, dodgeball, </w:t>
      </w:r>
      <w:proofErr w:type="gramStart"/>
      <w:r w:rsidR="007F6BC6">
        <w:t>e</w:t>
      </w:r>
      <w:proofErr w:type="gramEnd"/>
      <w:r w:rsidR="007F6BC6">
        <w:t xml:space="preserve">-cadets, </w:t>
      </w:r>
      <w:r w:rsidR="001F5D50" w:rsidRPr="00E569EF">
        <w:t xml:space="preserve">cross country, </w:t>
      </w:r>
      <w:r w:rsidR="007F6BC6">
        <w:t xml:space="preserve">cookery, musical props </w:t>
      </w:r>
      <w:r w:rsidR="001F5D50" w:rsidRPr="00E569EF">
        <w:t xml:space="preserve">and musical theatre. </w:t>
      </w:r>
      <w:r w:rsidR="00027AA2">
        <w:t xml:space="preserve">28% of children with SEND regularly attended our breakfast club. </w:t>
      </w:r>
    </w:p>
    <w:p w:rsidR="007F6BC6" w:rsidRDefault="007F6BC6" w:rsidP="001F5D50">
      <w:pPr>
        <w:jc w:val="both"/>
      </w:pPr>
    </w:p>
    <w:p w:rsidR="007F6BC6" w:rsidRDefault="007F6BC6" w:rsidP="001F5D50">
      <w:pPr>
        <w:jc w:val="both"/>
        <w:rPr>
          <w:b/>
        </w:rPr>
      </w:pPr>
      <w:r>
        <w:rPr>
          <w:b/>
        </w:rPr>
        <w:t xml:space="preserve">What has Worked Well this </w:t>
      </w:r>
      <w:r w:rsidR="00642B7A" w:rsidRPr="007F6BC6">
        <w:rPr>
          <w:b/>
        </w:rPr>
        <w:t>Year?</w:t>
      </w:r>
    </w:p>
    <w:p w:rsidR="007F6BC6" w:rsidRPr="007F6BC6" w:rsidRDefault="007F6BC6" w:rsidP="007F6BC6">
      <w:pPr>
        <w:autoSpaceDE w:val="0"/>
        <w:autoSpaceDN w:val="0"/>
        <w:adjustRightInd w:val="0"/>
        <w:rPr>
          <w:rFonts w:ascii="Arial" w:hAnsi="Arial" w:cs="Arial"/>
          <w:color w:val="000000"/>
          <w:lang w:val="en-GB" w:eastAsia="en-GB"/>
        </w:rPr>
      </w:pPr>
    </w:p>
    <w:p w:rsidR="00545F44" w:rsidRDefault="007F6BC6" w:rsidP="00545F44">
      <w:pPr>
        <w:pStyle w:val="ListParagraph"/>
        <w:numPr>
          <w:ilvl w:val="0"/>
          <w:numId w:val="38"/>
        </w:numPr>
        <w:autoSpaceDE w:val="0"/>
        <w:autoSpaceDN w:val="0"/>
        <w:adjustRightInd w:val="0"/>
        <w:rPr>
          <w:rFonts w:cs="Comic Sans MS"/>
          <w:color w:val="000000"/>
          <w:lang w:val="en-GB" w:eastAsia="en-GB"/>
        </w:rPr>
      </w:pPr>
      <w:r w:rsidRPr="00545F44">
        <w:rPr>
          <w:rFonts w:cs="Comic Sans MS"/>
          <w:color w:val="000000"/>
          <w:lang w:val="en-GB" w:eastAsia="en-GB"/>
        </w:rPr>
        <w:t xml:space="preserve">Working closely with children’s families </w:t>
      </w:r>
    </w:p>
    <w:p w:rsidR="00545F44" w:rsidRPr="00545F44" w:rsidRDefault="007F6BC6" w:rsidP="00545F44">
      <w:pPr>
        <w:pStyle w:val="ListParagraph"/>
        <w:numPr>
          <w:ilvl w:val="0"/>
          <w:numId w:val="38"/>
        </w:numPr>
        <w:autoSpaceDE w:val="0"/>
        <w:autoSpaceDN w:val="0"/>
        <w:adjustRightInd w:val="0"/>
        <w:rPr>
          <w:rFonts w:cs="Comic Sans MS"/>
          <w:color w:val="000000"/>
          <w:lang w:val="en-GB" w:eastAsia="en-GB"/>
        </w:rPr>
      </w:pPr>
      <w:r w:rsidRPr="00545F44">
        <w:lastRenderedPageBreak/>
        <w:t>Working closely and sharing ‘best prac</w:t>
      </w:r>
      <w:r w:rsidR="00545F44">
        <w:t xml:space="preserve">tice’ with consortia colleagues and </w:t>
      </w:r>
      <w:r w:rsidRPr="00545F44">
        <w:t xml:space="preserve">schools </w:t>
      </w:r>
    </w:p>
    <w:p w:rsidR="007F6BC6" w:rsidRPr="00545F44" w:rsidRDefault="007F6BC6" w:rsidP="00545F44">
      <w:pPr>
        <w:pStyle w:val="ListParagraph"/>
        <w:numPr>
          <w:ilvl w:val="0"/>
          <w:numId w:val="38"/>
        </w:numPr>
        <w:autoSpaceDE w:val="0"/>
        <w:autoSpaceDN w:val="0"/>
        <w:adjustRightInd w:val="0"/>
        <w:rPr>
          <w:rFonts w:cs="Comic Sans MS"/>
          <w:color w:val="000000"/>
          <w:lang w:val="en-GB" w:eastAsia="en-GB"/>
        </w:rPr>
      </w:pPr>
      <w:r w:rsidRPr="00545F44">
        <w:t xml:space="preserve">Close working relationships with outreach providers and other agencies </w:t>
      </w:r>
    </w:p>
    <w:p w:rsidR="00545F44" w:rsidRDefault="00545F44" w:rsidP="001F5D50">
      <w:pPr>
        <w:pStyle w:val="ListParagraph"/>
        <w:numPr>
          <w:ilvl w:val="0"/>
          <w:numId w:val="36"/>
        </w:numPr>
        <w:jc w:val="both"/>
      </w:pPr>
      <w:r w:rsidRPr="00545F44">
        <w:t xml:space="preserve">The </w:t>
      </w:r>
      <w:r>
        <w:t xml:space="preserve">whole school </w:t>
      </w:r>
      <w:r w:rsidRPr="00545F44">
        <w:t>implementat</w:t>
      </w:r>
      <w:r>
        <w:t>ion of PIVATS 5 assessment tool, which has ensured a more robust way of monitoring</w:t>
      </w:r>
      <w:r w:rsidR="003D3B68">
        <w:t xml:space="preserve"> and tracking</w:t>
      </w:r>
      <w:r>
        <w:t xml:space="preserve"> children’s progress</w:t>
      </w:r>
    </w:p>
    <w:p w:rsidR="00545F44" w:rsidRDefault="00545F44" w:rsidP="001F5D50">
      <w:pPr>
        <w:pStyle w:val="ListParagraph"/>
        <w:numPr>
          <w:ilvl w:val="0"/>
          <w:numId w:val="36"/>
        </w:numPr>
        <w:jc w:val="both"/>
      </w:pPr>
      <w:r>
        <w:t xml:space="preserve">Learning walks, which have celebrated our strengths and provided </w:t>
      </w:r>
      <w:r w:rsidR="003D3B68">
        <w:t xml:space="preserve">targeted </w:t>
      </w:r>
      <w:r>
        <w:t>areas for development</w:t>
      </w:r>
    </w:p>
    <w:p w:rsidR="00517F8E" w:rsidRDefault="00545F44" w:rsidP="00517F8E">
      <w:pPr>
        <w:pStyle w:val="ListParagraph"/>
        <w:numPr>
          <w:ilvl w:val="0"/>
          <w:numId w:val="36"/>
        </w:numPr>
        <w:jc w:val="both"/>
      </w:pPr>
      <w:r>
        <w:t xml:space="preserve">Our </w:t>
      </w:r>
      <w:proofErr w:type="spellStart"/>
      <w:r>
        <w:t>Personalised</w:t>
      </w:r>
      <w:proofErr w:type="spellEnd"/>
      <w:r>
        <w:t xml:space="preserve"> Learning Centre which has provided specialist support f</w:t>
      </w:r>
      <w:r w:rsidR="00027AA2">
        <w:t>or children</w:t>
      </w:r>
      <w:r>
        <w:t xml:space="preserve"> </w:t>
      </w:r>
    </w:p>
    <w:p w:rsidR="00517F8E" w:rsidRDefault="00517F8E" w:rsidP="00517F8E">
      <w:pPr>
        <w:pStyle w:val="ListParagraph"/>
        <w:numPr>
          <w:ilvl w:val="0"/>
          <w:numId w:val="36"/>
        </w:numPr>
        <w:jc w:val="both"/>
      </w:pPr>
      <w:r>
        <w:t>Children’s progress over the academic year</w:t>
      </w:r>
      <w:r w:rsidR="00B64A83">
        <w:t xml:space="preserve"> (see tables below)</w:t>
      </w:r>
    </w:p>
    <w:p w:rsidR="00B64A83" w:rsidRDefault="00B64A83" w:rsidP="00B64A83">
      <w:pPr>
        <w:pStyle w:val="ListParagraph"/>
        <w:jc w:val="both"/>
      </w:pPr>
    </w:p>
    <w:p w:rsidR="00517F8E" w:rsidRDefault="00517F8E" w:rsidP="00517F8E">
      <w:pPr>
        <w:pStyle w:val="ListParagraph"/>
        <w:jc w:val="both"/>
      </w:pPr>
    </w:p>
    <w:tbl>
      <w:tblPr>
        <w:tblStyle w:val="TableGrid1"/>
        <w:tblW w:w="0" w:type="auto"/>
        <w:tblLayout w:type="fixed"/>
        <w:tblLook w:val="04A0" w:firstRow="1" w:lastRow="0" w:firstColumn="1" w:lastColumn="0" w:noHBand="0" w:noVBand="1"/>
      </w:tblPr>
      <w:tblGrid>
        <w:gridCol w:w="2955"/>
        <w:gridCol w:w="1311"/>
        <w:gridCol w:w="1168"/>
        <w:gridCol w:w="1081"/>
      </w:tblGrid>
      <w:tr w:rsidR="00517F8E" w:rsidRPr="00517F8E" w:rsidTr="008A4D08">
        <w:trPr>
          <w:trHeight w:val="341"/>
        </w:trPr>
        <w:tc>
          <w:tcPr>
            <w:tcW w:w="2955" w:type="dxa"/>
          </w:tcPr>
          <w:p w:rsidR="00517F8E" w:rsidRPr="00517F8E" w:rsidRDefault="00517F8E" w:rsidP="00517F8E">
            <w:pPr>
              <w:rPr>
                <w:rFonts w:asciiTheme="minorHAnsi" w:hAnsiTheme="minorHAnsi"/>
                <w:sz w:val="22"/>
                <w:szCs w:val="22"/>
                <w:lang w:val="en-GB"/>
              </w:rPr>
            </w:pPr>
            <w:r>
              <w:rPr>
                <w:rFonts w:asciiTheme="minorHAnsi" w:hAnsiTheme="minorHAnsi"/>
                <w:sz w:val="22"/>
                <w:szCs w:val="22"/>
                <w:lang w:val="en-GB"/>
              </w:rPr>
              <w:t xml:space="preserve">Autumn Term </w:t>
            </w:r>
          </w:p>
        </w:tc>
        <w:tc>
          <w:tcPr>
            <w:tcW w:w="1311" w:type="dxa"/>
          </w:tcPr>
          <w:p w:rsidR="00517F8E" w:rsidRPr="00517F8E" w:rsidRDefault="00517F8E" w:rsidP="00517F8E">
            <w:pPr>
              <w:rPr>
                <w:rFonts w:asciiTheme="minorHAnsi" w:hAnsiTheme="minorHAnsi"/>
                <w:sz w:val="22"/>
                <w:szCs w:val="22"/>
                <w:lang w:val="en-GB"/>
              </w:rPr>
            </w:pPr>
            <w:r w:rsidRPr="00517F8E">
              <w:rPr>
                <w:rFonts w:asciiTheme="minorHAnsi" w:hAnsiTheme="minorHAnsi"/>
                <w:sz w:val="22"/>
                <w:szCs w:val="22"/>
                <w:lang w:val="en-GB"/>
              </w:rPr>
              <w:t xml:space="preserve">Reading </w:t>
            </w:r>
          </w:p>
        </w:tc>
        <w:tc>
          <w:tcPr>
            <w:tcW w:w="1168" w:type="dxa"/>
            <w:shd w:val="clear" w:color="auto" w:fill="FFFFFF" w:themeFill="background1"/>
          </w:tcPr>
          <w:p w:rsidR="00517F8E" w:rsidRPr="00517F8E" w:rsidRDefault="00517F8E" w:rsidP="00517F8E">
            <w:pPr>
              <w:rPr>
                <w:rFonts w:asciiTheme="minorHAnsi" w:hAnsiTheme="minorHAnsi"/>
                <w:sz w:val="22"/>
                <w:szCs w:val="22"/>
                <w:lang w:val="en-GB"/>
              </w:rPr>
            </w:pPr>
            <w:r w:rsidRPr="00517F8E">
              <w:rPr>
                <w:rFonts w:asciiTheme="minorHAnsi" w:hAnsiTheme="minorHAnsi"/>
                <w:sz w:val="22"/>
                <w:szCs w:val="22"/>
                <w:lang w:val="en-GB"/>
              </w:rPr>
              <w:t>Writing</w:t>
            </w:r>
          </w:p>
        </w:tc>
        <w:tc>
          <w:tcPr>
            <w:tcW w:w="1081" w:type="dxa"/>
            <w:shd w:val="clear" w:color="auto" w:fill="FFFFFF" w:themeFill="background1"/>
          </w:tcPr>
          <w:p w:rsidR="00517F8E" w:rsidRPr="00517F8E" w:rsidRDefault="00517F8E" w:rsidP="00517F8E">
            <w:pPr>
              <w:rPr>
                <w:rFonts w:asciiTheme="minorHAnsi" w:hAnsiTheme="minorHAnsi"/>
                <w:sz w:val="22"/>
                <w:szCs w:val="22"/>
                <w:lang w:val="en-GB"/>
              </w:rPr>
            </w:pPr>
            <w:r w:rsidRPr="00517F8E">
              <w:rPr>
                <w:rFonts w:asciiTheme="minorHAnsi" w:hAnsiTheme="minorHAnsi"/>
                <w:sz w:val="22"/>
                <w:szCs w:val="22"/>
                <w:lang w:val="en-GB"/>
              </w:rPr>
              <w:t>Maths</w:t>
            </w:r>
          </w:p>
        </w:tc>
      </w:tr>
      <w:tr w:rsidR="00517F8E" w:rsidRPr="00517F8E" w:rsidTr="008A4D08">
        <w:trPr>
          <w:trHeight w:val="341"/>
        </w:trPr>
        <w:tc>
          <w:tcPr>
            <w:tcW w:w="2955" w:type="dxa"/>
          </w:tcPr>
          <w:p w:rsidR="00517F8E" w:rsidRPr="00517F8E" w:rsidRDefault="00517F8E" w:rsidP="00517F8E">
            <w:pPr>
              <w:rPr>
                <w:rFonts w:asciiTheme="minorHAnsi" w:hAnsiTheme="minorHAnsi"/>
                <w:sz w:val="22"/>
                <w:szCs w:val="22"/>
                <w:lang w:val="en-GB"/>
              </w:rPr>
            </w:pPr>
            <w:r w:rsidRPr="00517F8E">
              <w:rPr>
                <w:rFonts w:asciiTheme="minorHAnsi" w:hAnsiTheme="minorHAnsi"/>
                <w:sz w:val="22"/>
                <w:szCs w:val="22"/>
                <w:lang w:val="en-GB"/>
              </w:rPr>
              <w:t>LESS THAN EXPECTED PROGRESS</w:t>
            </w:r>
          </w:p>
        </w:tc>
        <w:tc>
          <w:tcPr>
            <w:tcW w:w="1311" w:type="dxa"/>
          </w:tcPr>
          <w:p w:rsidR="00517F8E" w:rsidRPr="00517F8E" w:rsidRDefault="00517F8E" w:rsidP="00517F8E">
            <w:pPr>
              <w:rPr>
                <w:rFonts w:asciiTheme="minorHAnsi" w:hAnsiTheme="minorHAnsi"/>
                <w:sz w:val="22"/>
                <w:szCs w:val="22"/>
                <w:lang w:val="en-GB"/>
              </w:rPr>
            </w:pPr>
            <w:r w:rsidRPr="00517F8E">
              <w:rPr>
                <w:rFonts w:asciiTheme="minorHAnsi" w:hAnsiTheme="minorHAnsi"/>
                <w:sz w:val="22"/>
                <w:szCs w:val="22"/>
                <w:lang w:val="en-GB"/>
              </w:rPr>
              <w:t>7%</w:t>
            </w:r>
          </w:p>
        </w:tc>
        <w:tc>
          <w:tcPr>
            <w:tcW w:w="1168" w:type="dxa"/>
            <w:shd w:val="clear" w:color="auto" w:fill="FFFFFF" w:themeFill="background1"/>
          </w:tcPr>
          <w:p w:rsidR="00517F8E" w:rsidRPr="00517F8E" w:rsidRDefault="00517F8E" w:rsidP="00517F8E">
            <w:pPr>
              <w:rPr>
                <w:rFonts w:asciiTheme="minorHAnsi" w:hAnsiTheme="minorHAnsi"/>
                <w:sz w:val="22"/>
                <w:szCs w:val="22"/>
                <w:lang w:val="en-GB"/>
              </w:rPr>
            </w:pPr>
            <w:r w:rsidRPr="00517F8E">
              <w:rPr>
                <w:rFonts w:asciiTheme="minorHAnsi" w:hAnsiTheme="minorHAnsi"/>
                <w:sz w:val="22"/>
                <w:szCs w:val="22"/>
                <w:lang w:val="en-GB"/>
              </w:rPr>
              <w:t>2%</w:t>
            </w:r>
          </w:p>
        </w:tc>
        <w:tc>
          <w:tcPr>
            <w:tcW w:w="1081" w:type="dxa"/>
            <w:shd w:val="clear" w:color="auto" w:fill="FFFFFF" w:themeFill="background1"/>
          </w:tcPr>
          <w:p w:rsidR="00517F8E" w:rsidRPr="00517F8E" w:rsidRDefault="00517F8E" w:rsidP="00517F8E">
            <w:pPr>
              <w:rPr>
                <w:rFonts w:asciiTheme="minorHAnsi" w:hAnsiTheme="minorHAnsi"/>
                <w:sz w:val="22"/>
                <w:szCs w:val="22"/>
                <w:lang w:val="en-GB"/>
              </w:rPr>
            </w:pPr>
            <w:r w:rsidRPr="00517F8E">
              <w:rPr>
                <w:rFonts w:asciiTheme="minorHAnsi" w:hAnsiTheme="minorHAnsi"/>
                <w:sz w:val="22"/>
                <w:szCs w:val="22"/>
                <w:lang w:val="en-GB"/>
              </w:rPr>
              <w:t>5%</w:t>
            </w:r>
          </w:p>
        </w:tc>
      </w:tr>
      <w:tr w:rsidR="00517F8E" w:rsidRPr="00517F8E" w:rsidTr="008A4D08">
        <w:trPr>
          <w:trHeight w:val="341"/>
        </w:trPr>
        <w:tc>
          <w:tcPr>
            <w:tcW w:w="2955" w:type="dxa"/>
          </w:tcPr>
          <w:p w:rsidR="00517F8E" w:rsidRPr="00517F8E" w:rsidRDefault="00517F8E" w:rsidP="00517F8E">
            <w:pPr>
              <w:rPr>
                <w:rFonts w:asciiTheme="minorHAnsi" w:hAnsiTheme="minorHAnsi"/>
                <w:sz w:val="22"/>
                <w:szCs w:val="22"/>
                <w:lang w:val="en-GB"/>
              </w:rPr>
            </w:pPr>
            <w:r w:rsidRPr="00517F8E">
              <w:rPr>
                <w:rFonts w:asciiTheme="minorHAnsi" w:hAnsiTheme="minorHAnsi"/>
                <w:sz w:val="22"/>
                <w:szCs w:val="22"/>
                <w:lang w:val="en-GB"/>
              </w:rPr>
              <w:t>EXPECTED PROGRESS</w:t>
            </w:r>
          </w:p>
        </w:tc>
        <w:tc>
          <w:tcPr>
            <w:tcW w:w="1311" w:type="dxa"/>
          </w:tcPr>
          <w:p w:rsidR="00517F8E" w:rsidRPr="00517F8E" w:rsidRDefault="00517F8E" w:rsidP="00517F8E">
            <w:pPr>
              <w:rPr>
                <w:rFonts w:asciiTheme="minorHAnsi" w:hAnsiTheme="minorHAnsi"/>
                <w:sz w:val="22"/>
                <w:szCs w:val="22"/>
                <w:lang w:val="en-GB"/>
              </w:rPr>
            </w:pPr>
            <w:r w:rsidRPr="00517F8E">
              <w:rPr>
                <w:rFonts w:asciiTheme="minorHAnsi" w:hAnsiTheme="minorHAnsi"/>
                <w:sz w:val="22"/>
                <w:szCs w:val="22"/>
                <w:lang w:val="en-GB"/>
              </w:rPr>
              <w:t>86%</w:t>
            </w:r>
          </w:p>
        </w:tc>
        <w:tc>
          <w:tcPr>
            <w:tcW w:w="1168" w:type="dxa"/>
            <w:shd w:val="clear" w:color="auto" w:fill="FFFFFF" w:themeFill="background1"/>
          </w:tcPr>
          <w:p w:rsidR="00517F8E" w:rsidRPr="00517F8E" w:rsidRDefault="00517F8E" w:rsidP="00517F8E">
            <w:pPr>
              <w:rPr>
                <w:rFonts w:asciiTheme="minorHAnsi" w:hAnsiTheme="minorHAnsi"/>
                <w:sz w:val="22"/>
                <w:szCs w:val="22"/>
                <w:lang w:val="en-GB"/>
              </w:rPr>
            </w:pPr>
            <w:r w:rsidRPr="00517F8E">
              <w:rPr>
                <w:rFonts w:asciiTheme="minorHAnsi" w:hAnsiTheme="minorHAnsi"/>
                <w:sz w:val="22"/>
                <w:szCs w:val="22"/>
                <w:lang w:val="en-GB"/>
              </w:rPr>
              <w:t>95%</w:t>
            </w:r>
          </w:p>
        </w:tc>
        <w:tc>
          <w:tcPr>
            <w:tcW w:w="1081" w:type="dxa"/>
            <w:shd w:val="clear" w:color="auto" w:fill="FFFFFF" w:themeFill="background1"/>
          </w:tcPr>
          <w:p w:rsidR="00517F8E" w:rsidRPr="00517F8E" w:rsidRDefault="00517F8E" w:rsidP="00517F8E">
            <w:pPr>
              <w:rPr>
                <w:rFonts w:asciiTheme="minorHAnsi" w:hAnsiTheme="minorHAnsi"/>
                <w:sz w:val="22"/>
                <w:szCs w:val="22"/>
                <w:lang w:val="en-GB"/>
              </w:rPr>
            </w:pPr>
            <w:r w:rsidRPr="00517F8E">
              <w:rPr>
                <w:rFonts w:asciiTheme="minorHAnsi" w:hAnsiTheme="minorHAnsi"/>
                <w:sz w:val="22"/>
                <w:szCs w:val="22"/>
                <w:lang w:val="en-GB"/>
              </w:rPr>
              <w:t>85%</w:t>
            </w:r>
          </w:p>
        </w:tc>
      </w:tr>
      <w:tr w:rsidR="00517F8E" w:rsidRPr="00517F8E" w:rsidTr="008A4D08">
        <w:trPr>
          <w:trHeight w:val="341"/>
        </w:trPr>
        <w:tc>
          <w:tcPr>
            <w:tcW w:w="2955" w:type="dxa"/>
          </w:tcPr>
          <w:p w:rsidR="00517F8E" w:rsidRPr="00517F8E" w:rsidRDefault="00517F8E" w:rsidP="00517F8E">
            <w:pPr>
              <w:rPr>
                <w:rFonts w:asciiTheme="minorHAnsi" w:hAnsiTheme="minorHAnsi"/>
                <w:sz w:val="22"/>
                <w:szCs w:val="22"/>
                <w:lang w:val="en-GB"/>
              </w:rPr>
            </w:pPr>
            <w:r w:rsidRPr="00517F8E">
              <w:rPr>
                <w:rFonts w:asciiTheme="minorHAnsi" w:hAnsiTheme="minorHAnsi"/>
                <w:sz w:val="22"/>
                <w:szCs w:val="22"/>
                <w:lang w:val="en-GB"/>
              </w:rPr>
              <w:t>GOOD/OUTSTANDING  PROGRESS</w:t>
            </w:r>
          </w:p>
        </w:tc>
        <w:tc>
          <w:tcPr>
            <w:tcW w:w="1311" w:type="dxa"/>
          </w:tcPr>
          <w:p w:rsidR="00517F8E" w:rsidRPr="00517F8E" w:rsidRDefault="00517F8E" w:rsidP="00517F8E">
            <w:pPr>
              <w:rPr>
                <w:rFonts w:asciiTheme="minorHAnsi" w:hAnsiTheme="minorHAnsi"/>
                <w:sz w:val="22"/>
                <w:szCs w:val="22"/>
                <w:lang w:val="en-GB"/>
              </w:rPr>
            </w:pPr>
            <w:r w:rsidRPr="00517F8E">
              <w:rPr>
                <w:rFonts w:asciiTheme="minorHAnsi" w:hAnsiTheme="minorHAnsi"/>
                <w:sz w:val="22"/>
                <w:szCs w:val="22"/>
                <w:lang w:val="en-GB"/>
              </w:rPr>
              <w:t>7%</w:t>
            </w:r>
          </w:p>
        </w:tc>
        <w:tc>
          <w:tcPr>
            <w:tcW w:w="1168" w:type="dxa"/>
            <w:shd w:val="clear" w:color="auto" w:fill="FFFFFF" w:themeFill="background1"/>
          </w:tcPr>
          <w:p w:rsidR="00517F8E" w:rsidRPr="00517F8E" w:rsidRDefault="00517F8E" w:rsidP="00517F8E">
            <w:pPr>
              <w:rPr>
                <w:rFonts w:asciiTheme="minorHAnsi" w:hAnsiTheme="minorHAnsi"/>
                <w:sz w:val="22"/>
                <w:szCs w:val="22"/>
                <w:lang w:val="en-GB"/>
              </w:rPr>
            </w:pPr>
            <w:r w:rsidRPr="00517F8E">
              <w:rPr>
                <w:rFonts w:asciiTheme="minorHAnsi" w:hAnsiTheme="minorHAnsi"/>
                <w:sz w:val="22"/>
                <w:szCs w:val="22"/>
                <w:lang w:val="en-GB"/>
              </w:rPr>
              <w:t>3%</w:t>
            </w:r>
          </w:p>
        </w:tc>
        <w:tc>
          <w:tcPr>
            <w:tcW w:w="1081" w:type="dxa"/>
            <w:shd w:val="clear" w:color="auto" w:fill="FFFFFF" w:themeFill="background1"/>
          </w:tcPr>
          <w:p w:rsidR="00517F8E" w:rsidRPr="00517F8E" w:rsidRDefault="00517F8E" w:rsidP="00517F8E">
            <w:pPr>
              <w:rPr>
                <w:rFonts w:asciiTheme="minorHAnsi" w:hAnsiTheme="minorHAnsi"/>
                <w:sz w:val="22"/>
                <w:szCs w:val="22"/>
                <w:lang w:val="en-GB"/>
              </w:rPr>
            </w:pPr>
            <w:r w:rsidRPr="00517F8E">
              <w:rPr>
                <w:rFonts w:asciiTheme="minorHAnsi" w:hAnsiTheme="minorHAnsi"/>
                <w:sz w:val="22"/>
                <w:szCs w:val="22"/>
                <w:lang w:val="en-GB"/>
              </w:rPr>
              <w:t>10%</w:t>
            </w:r>
          </w:p>
        </w:tc>
      </w:tr>
    </w:tbl>
    <w:p w:rsidR="00517F8E" w:rsidRDefault="00517F8E" w:rsidP="00517F8E">
      <w:pPr>
        <w:jc w:val="both"/>
      </w:pPr>
    </w:p>
    <w:tbl>
      <w:tblPr>
        <w:tblStyle w:val="TableGrid2"/>
        <w:tblW w:w="0" w:type="auto"/>
        <w:tblLayout w:type="fixed"/>
        <w:tblLook w:val="04A0" w:firstRow="1" w:lastRow="0" w:firstColumn="1" w:lastColumn="0" w:noHBand="0" w:noVBand="1"/>
      </w:tblPr>
      <w:tblGrid>
        <w:gridCol w:w="2907"/>
        <w:gridCol w:w="1312"/>
        <w:gridCol w:w="1134"/>
        <w:gridCol w:w="1134"/>
      </w:tblGrid>
      <w:tr w:rsidR="00517F8E" w:rsidRPr="00517F8E" w:rsidTr="008C286C">
        <w:trPr>
          <w:trHeight w:val="330"/>
        </w:trPr>
        <w:tc>
          <w:tcPr>
            <w:tcW w:w="2907" w:type="dxa"/>
          </w:tcPr>
          <w:p w:rsidR="00517F8E" w:rsidRPr="00517F8E" w:rsidRDefault="00517F8E" w:rsidP="00517F8E">
            <w:pPr>
              <w:rPr>
                <w:rFonts w:asciiTheme="minorHAnsi" w:hAnsiTheme="minorHAnsi"/>
                <w:sz w:val="22"/>
                <w:szCs w:val="22"/>
                <w:lang w:val="en-GB"/>
              </w:rPr>
            </w:pPr>
            <w:r>
              <w:rPr>
                <w:rFonts w:asciiTheme="minorHAnsi" w:hAnsiTheme="minorHAnsi"/>
                <w:sz w:val="22"/>
                <w:szCs w:val="22"/>
                <w:lang w:val="en-GB"/>
              </w:rPr>
              <w:t xml:space="preserve">Spring Term </w:t>
            </w:r>
          </w:p>
        </w:tc>
        <w:tc>
          <w:tcPr>
            <w:tcW w:w="1312" w:type="dxa"/>
          </w:tcPr>
          <w:p w:rsidR="00517F8E" w:rsidRPr="00517F8E" w:rsidRDefault="00517F8E" w:rsidP="00517F8E">
            <w:pPr>
              <w:rPr>
                <w:rFonts w:asciiTheme="minorHAnsi" w:hAnsiTheme="minorHAnsi"/>
                <w:sz w:val="22"/>
                <w:szCs w:val="22"/>
                <w:lang w:val="en-GB"/>
              </w:rPr>
            </w:pPr>
            <w:r>
              <w:rPr>
                <w:rFonts w:asciiTheme="minorHAnsi" w:hAnsiTheme="minorHAnsi"/>
                <w:sz w:val="22"/>
                <w:szCs w:val="22"/>
                <w:lang w:val="en-GB"/>
              </w:rPr>
              <w:t xml:space="preserve">Reading </w:t>
            </w:r>
          </w:p>
        </w:tc>
        <w:tc>
          <w:tcPr>
            <w:tcW w:w="1134" w:type="dxa"/>
          </w:tcPr>
          <w:p w:rsidR="00517F8E" w:rsidRPr="00517F8E" w:rsidRDefault="00517F8E" w:rsidP="00517F8E">
            <w:pPr>
              <w:rPr>
                <w:rFonts w:asciiTheme="minorHAnsi" w:hAnsiTheme="minorHAnsi"/>
                <w:sz w:val="22"/>
                <w:szCs w:val="22"/>
                <w:lang w:val="en-GB"/>
              </w:rPr>
            </w:pPr>
            <w:r>
              <w:rPr>
                <w:rFonts w:asciiTheme="minorHAnsi" w:hAnsiTheme="minorHAnsi"/>
                <w:sz w:val="22"/>
                <w:szCs w:val="22"/>
                <w:lang w:val="en-GB"/>
              </w:rPr>
              <w:t xml:space="preserve">Writing </w:t>
            </w:r>
          </w:p>
        </w:tc>
        <w:tc>
          <w:tcPr>
            <w:tcW w:w="1134" w:type="dxa"/>
          </w:tcPr>
          <w:p w:rsidR="00517F8E" w:rsidRPr="00517F8E" w:rsidRDefault="00517F8E" w:rsidP="00517F8E">
            <w:pPr>
              <w:rPr>
                <w:rFonts w:asciiTheme="minorHAnsi" w:hAnsiTheme="minorHAnsi"/>
                <w:sz w:val="22"/>
                <w:szCs w:val="22"/>
                <w:lang w:val="en-GB"/>
              </w:rPr>
            </w:pPr>
            <w:r>
              <w:rPr>
                <w:rFonts w:asciiTheme="minorHAnsi" w:hAnsiTheme="minorHAnsi"/>
                <w:sz w:val="22"/>
                <w:szCs w:val="22"/>
                <w:lang w:val="en-GB"/>
              </w:rPr>
              <w:t xml:space="preserve">Maths </w:t>
            </w:r>
          </w:p>
        </w:tc>
      </w:tr>
      <w:tr w:rsidR="00517F8E" w:rsidRPr="00517F8E" w:rsidTr="008C286C">
        <w:trPr>
          <w:trHeight w:val="330"/>
        </w:trPr>
        <w:tc>
          <w:tcPr>
            <w:tcW w:w="2907" w:type="dxa"/>
          </w:tcPr>
          <w:p w:rsidR="00517F8E" w:rsidRPr="00517F8E" w:rsidRDefault="00517F8E" w:rsidP="00517F8E">
            <w:pPr>
              <w:rPr>
                <w:rFonts w:asciiTheme="minorHAnsi" w:hAnsiTheme="minorHAnsi"/>
                <w:sz w:val="22"/>
                <w:szCs w:val="22"/>
                <w:lang w:val="en-GB"/>
              </w:rPr>
            </w:pPr>
            <w:r w:rsidRPr="00517F8E">
              <w:rPr>
                <w:rFonts w:asciiTheme="minorHAnsi" w:hAnsiTheme="minorHAnsi"/>
                <w:sz w:val="22"/>
                <w:szCs w:val="22"/>
                <w:lang w:val="en-GB"/>
              </w:rPr>
              <w:t>LESS THAN EXPECTED PROGRESS</w:t>
            </w:r>
          </w:p>
        </w:tc>
        <w:tc>
          <w:tcPr>
            <w:tcW w:w="1312" w:type="dxa"/>
          </w:tcPr>
          <w:p w:rsidR="00517F8E" w:rsidRPr="00517F8E" w:rsidRDefault="00517F8E" w:rsidP="00517F8E">
            <w:pPr>
              <w:rPr>
                <w:rFonts w:asciiTheme="minorHAnsi" w:hAnsiTheme="minorHAnsi"/>
                <w:sz w:val="22"/>
                <w:szCs w:val="22"/>
                <w:lang w:val="en-GB"/>
              </w:rPr>
            </w:pPr>
            <w:r>
              <w:rPr>
                <w:rFonts w:asciiTheme="minorHAnsi" w:hAnsiTheme="minorHAnsi"/>
                <w:sz w:val="22"/>
                <w:szCs w:val="22"/>
                <w:lang w:val="en-GB"/>
              </w:rPr>
              <w:t>0%</w:t>
            </w:r>
          </w:p>
        </w:tc>
        <w:tc>
          <w:tcPr>
            <w:tcW w:w="1134" w:type="dxa"/>
          </w:tcPr>
          <w:p w:rsidR="00517F8E" w:rsidRPr="00517F8E" w:rsidRDefault="00517F8E" w:rsidP="00517F8E">
            <w:pPr>
              <w:rPr>
                <w:rFonts w:asciiTheme="minorHAnsi" w:hAnsiTheme="minorHAnsi"/>
                <w:sz w:val="22"/>
                <w:szCs w:val="22"/>
                <w:lang w:val="en-GB"/>
              </w:rPr>
            </w:pPr>
            <w:r>
              <w:rPr>
                <w:rFonts w:asciiTheme="minorHAnsi" w:hAnsiTheme="minorHAnsi"/>
                <w:sz w:val="22"/>
                <w:szCs w:val="22"/>
                <w:lang w:val="en-GB"/>
              </w:rPr>
              <w:t>1%</w:t>
            </w:r>
          </w:p>
        </w:tc>
        <w:tc>
          <w:tcPr>
            <w:tcW w:w="1134" w:type="dxa"/>
          </w:tcPr>
          <w:p w:rsidR="00517F8E" w:rsidRPr="00517F8E" w:rsidRDefault="00517F8E" w:rsidP="00517F8E">
            <w:pPr>
              <w:rPr>
                <w:rFonts w:asciiTheme="minorHAnsi" w:hAnsiTheme="minorHAnsi"/>
                <w:sz w:val="22"/>
                <w:szCs w:val="22"/>
                <w:lang w:val="en-GB"/>
              </w:rPr>
            </w:pPr>
            <w:r>
              <w:rPr>
                <w:rFonts w:asciiTheme="minorHAnsi" w:hAnsiTheme="minorHAnsi"/>
                <w:sz w:val="22"/>
                <w:szCs w:val="22"/>
                <w:lang w:val="en-GB"/>
              </w:rPr>
              <w:t>2%</w:t>
            </w:r>
          </w:p>
        </w:tc>
      </w:tr>
      <w:tr w:rsidR="00517F8E" w:rsidRPr="00517F8E" w:rsidTr="008C286C">
        <w:trPr>
          <w:trHeight w:val="330"/>
        </w:trPr>
        <w:tc>
          <w:tcPr>
            <w:tcW w:w="2907" w:type="dxa"/>
          </w:tcPr>
          <w:p w:rsidR="00517F8E" w:rsidRPr="00517F8E" w:rsidRDefault="00517F8E" w:rsidP="00517F8E">
            <w:pPr>
              <w:rPr>
                <w:rFonts w:asciiTheme="minorHAnsi" w:hAnsiTheme="minorHAnsi"/>
                <w:sz w:val="22"/>
                <w:szCs w:val="22"/>
                <w:lang w:val="en-GB"/>
              </w:rPr>
            </w:pPr>
            <w:r w:rsidRPr="00517F8E">
              <w:rPr>
                <w:rFonts w:asciiTheme="minorHAnsi" w:hAnsiTheme="minorHAnsi"/>
                <w:sz w:val="22"/>
                <w:szCs w:val="22"/>
                <w:lang w:val="en-GB"/>
              </w:rPr>
              <w:t>EXPECTED PROGRESS</w:t>
            </w:r>
          </w:p>
        </w:tc>
        <w:tc>
          <w:tcPr>
            <w:tcW w:w="1312" w:type="dxa"/>
          </w:tcPr>
          <w:p w:rsidR="00517F8E" w:rsidRPr="00517F8E" w:rsidRDefault="00517F8E" w:rsidP="00517F8E">
            <w:pPr>
              <w:rPr>
                <w:rFonts w:asciiTheme="minorHAnsi" w:hAnsiTheme="minorHAnsi"/>
                <w:sz w:val="22"/>
                <w:szCs w:val="22"/>
                <w:lang w:val="en-GB"/>
              </w:rPr>
            </w:pPr>
            <w:r>
              <w:rPr>
                <w:rFonts w:asciiTheme="minorHAnsi" w:hAnsiTheme="minorHAnsi"/>
                <w:sz w:val="22"/>
                <w:szCs w:val="22"/>
                <w:lang w:val="en-GB"/>
              </w:rPr>
              <w:t>81%</w:t>
            </w:r>
          </w:p>
        </w:tc>
        <w:tc>
          <w:tcPr>
            <w:tcW w:w="1134" w:type="dxa"/>
          </w:tcPr>
          <w:p w:rsidR="00517F8E" w:rsidRPr="00517F8E" w:rsidRDefault="00517F8E" w:rsidP="00517F8E">
            <w:pPr>
              <w:rPr>
                <w:rFonts w:asciiTheme="minorHAnsi" w:hAnsiTheme="minorHAnsi"/>
                <w:sz w:val="22"/>
                <w:szCs w:val="22"/>
                <w:lang w:val="en-GB"/>
              </w:rPr>
            </w:pPr>
            <w:r>
              <w:rPr>
                <w:rFonts w:asciiTheme="minorHAnsi" w:hAnsiTheme="minorHAnsi"/>
                <w:sz w:val="22"/>
                <w:szCs w:val="22"/>
                <w:lang w:val="en-GB"/>
              </w:rPr>
              <w:t>81%</w:t>
            </w:r>
          </w:p>
        </w:tc>
        <w:tc>
          <w:tcPr>
            <w:tcW w:w="1134" w:type="dxa"/>
          </w:tcPr>
          <w:p w:rsidR="00517F8E" w:rsidRPr="00517F8E" w:rsidRDefault="00517F8E" w:rsidP="00517F8E">
            <w:pPr>
              <w:rPr>
                <w:rFonts w:asciiTheme="minorHAnsi" w:hAnsiTheme="minorHAnsi"/>
                <w:sz w:val="22"/>
                <w:szCs w:val="22"/>
                <w:lang w:val="en-GB"/>
              </w:rPr>
            </w:pPr>
            <w:r>
              <w:rPr>
                <w:rFonts w:asciiTheme="minorHAnsi" w:hAnsiTheme="minorHAnsi"/>
                <w:sz w:val="22"/>
                <w:szCs w:val="22"/>
                <w:lang w:val="en-GB"/>
              </w:rPr>
              <w:t>81%</w:t>
            </w:r>
          </w:p>
        </w:tc>
      </w:tr>
      <w:tr w:rsidR="00517F8E" w:rsidRPr="00517F8E" w:rsidTr="008C286C">
        <w:trPr>
          <w:trHeight w:val="330"/>
        </w:trPr>
        <w:tc>
          <w:tcPr>
            <w:tcW w:w="2907" w:type="dxa"/>
          </w:tcPr>
          <w:p w:rsidR="00517F8E" w:rsidRPr="00517F8E" w:rsidRDefault="00517F8E" w:rsidP="00517F8E">
            <w:pPr>
              <w:rPr>
                <w:rFonts w:asciiTheme="minorHAnsi" w:hAnsiTheme="minorHAnsi"/>
                <w:sz w:val="22"/>
                <w:szCs w:val="22"/>
                <w:lang w:val="en-GB"/>
              </w:rPr>
            </w:pPr>
            <w:r w:rsidRPr="00517F8E">
              <w:rPr>
                <w:rFonts w:asciiTheme="minorHAnsi" w:hAnsiTheme="minorHAnsi"/>
                <w:sz w:val="22"/>
                <w:szCs w:val="22"/>
                <w:lang w:val="en-GB"/>
              </w:rPr>
              <w:t>GOOD/OUTSTANDING  PROGRESS</w:t>
            </w:r>
          </w:p>
        </w:tc>
        <w:tc>
          <w:tcPr>
            <w:tcW w:w="1312" w:type="dxa"/>
          </w:tcPr>
          <w:p w:rsidR="00517F8E" w:rsidRPr="00517F8E" w:rsidRDefault="00517F8E" w:rsidP="00517F8E">
            <w:pPr>
              <w:rPr>
                <w:rFonts w:asciiTheme="minorHAnsi" w:hAnsiTheme="minorHAnsi"/>
                <w:sz w:val="22"/>
                <w:szCs w:val="22"/>
                <w:lang w:val="en-GB"/>
              </w:rPr>
            </w:pPr>
            <w:r>
              <w:rPr>
                <w:rFonts w:asciiTheme="minorHAnsi" w:hAnsiTheme="minorHAnsi"/>
                <w:sz w:val="22"/>
                <w:szCs w:val="22"/>
                <w:lang w:val="en-GB"/>
              </w:rPr>
              <w:t>19%</w:t>
            </w:r>
          </w:p>
        </w:tc>
        <w:tc>
          <w:tcPr>
            <w:tcW w:w="1134" w:type="dxa"/>
          </w:tcPr>
          <w:p w:rsidR="00517F8E" w:rsidRPr="00517F8E" w:rsidRDefault="00517F8E" w:rsidP="00517F8E">
            <w:pPr>
              <w:rPr>
                <w:rFonts w:asciiTheme="minorHAnsi" w:hAnsiTheme="minorHAnsi"/>
                <w:sz w:val="22"/>
                <w:szCs w:val="22"/>
                <w:lang w:val="en-GB"/>
              </w:rPr>
            </w:pPr>
            <w:r>
              <w:rPr>
                <w:rFonts w:asciiTheme="minorHAnsi" w:hAnsiTheme="minorHAnsi"/>
                <w:sz w:val="22"/>
                <w:szCs w:val="22"/>
                <w:lang w:val="en-GB"/>
              </w:rPr>
              <w:t>18%</w:t>
            </w:r>
          </w:p>
        </w:tc>
        <w:tc>
          <w:tcPr>
            <w:tcW w:w="1134" w:type="dxa"/>
          </w:tcPr>
          <w:p w:rsidR="00517F8E" w:rsidRPr="00517F8E" w:rsidRDefault="00517F8E" w:rsidP="00517F8E">
            <w:pPr>
              <w:rPr>
                <w:rFonts w:asciiTheme="minorHAnsi" w:hAnsiTheme="minorHAnsi"/>
                <w:sz w:val="22"/>
                <w:szCs w:val="22"/>
                <w:lang w:val="en-GB"/>
              </w:rPr>
            </w:pPr>
            <w:r>
              <w:rPr>
                <w:rFonts w:asciiTheme="minorHAnsi" w:hAnsiTheme="minorHAnsi"/>
                <w:sz w:val="22"/>
                <w:szCs w:val="22"/>
                <w:lang w:val="en-GB"/>
              </w:rPr>
              <w:t>17%</w:t>
            </w:r>
          </w:p>
        </w:tc>
      </w:tr>
    </w:tbl>
    <w:p w:rsidR="00517F8E" w:rsidRDefault="00517F8E" w:rsidP="00517F8E">
      <w:pPr>
        <w:jc w:val="both"/>
      </w:pPr>
    </w:p>
    <w:tbl>
      <w:tblPr>
        <w:tblStyle w:val="TableGrid2"/>
        <w:tblW w:w="0" w:type="auto"/>
        <w:tblLayout w:type="fixed"/>
        <w:tblLook w:val="04A0" w:firstRow="1" w:lastRow="0" w:firstColumn="1" w:lastColumn="0" w:noHBand="0" w:noVBand="1"/>
      </w:tblPr>
      <w:tblGrid>
        <w:gridCol w:w="2907"/>
        <w:gridCol w:w="1312"/>
        <w:gridCol w:w="1134"/>
        <w:gridCol w:w="1134"/>
      </w:tblGrid>
      <w:tr w:rsidR="00517F8E" w:rsidRPr="00517F8E" w:rsidTr="00F60562">
        <w:trPr>
          <w:trHeight w:val="330"/>
        </w:trPr>
        <w:tc>
          <w:tcPr>
            <w:tcW w:w="2907" w:type="dxa"/>
          </w:tcPr>
          <w:p w:rsidR="00517F8E" w:rsidRPr="00517F8E" w:rsidRDefault="00517F8E" w:rsidP="00517F8E">
            <w:pPr>
              <w:rPr>
                <w:rFonts w:asciiTheme="minorHAnsi" w:hAnsiTheme="minorHAnsi"/>
                <w:sz w:val="22"/>
                <w:szCs w:val="22"/>
                <w:lang w:val="en-GB"/>
              </w:rPr>
            </w:pPr>
            <w:r>
              <w:rPr>
                <w:rFonts w:asciiTheme="minorHAnsi" w:hAnsiTheme="minorHAnsi"/>
                <w:sz w:val="22"/>
                <w:szCs w:val="22"/>
                <w:lang w:val="en-GB"/>
              </w:rPr>
              <w:t xml:space="preserve">Summer Term </w:t>
            </w:r>
          </w:p>
        </w:tc>
        <w:tc>
          <w:tcPr>
            <w:tcW w:w="1312" w:type="dxa"/>
          </w:tcPr>
          <w:p w:rsidR="00517F8E" w:rsidRPr="00517F8E" w:rsidRDefault="00517F8E" w:rsidP="00F60562">
            <w:pPr>
              <w:rPr>
                <w:rFonts w:asciiTheme="minorHAnsi" w:hAnsiTheme="minorHAnsi"/>
                <w:sz w:val="22"/>
                <w:szCs w:val="22"/>
                <w:lang w:val="en-GB"/>
              </w:rPr>
            </w:pPr>
            <w:r>
              <w:rPr>
                <w:rFonts w:asciiTheme="minorHAnsi" w:hAnsiTheme="minorHAnsi"/>
                <w:sz w:val="22"/>
                <w:szCs w:val="22"/>
                <w:lang w:val="en-GB"/>
              </w:rPr>
              <w:t xml:space="preserve">Reading </w:t>
            </w:r>
          </w:p>
        </w:tc>
        <w:tc>
          <w:tcPr>
            <w:tcW w:w="1134" w:type="dxa"/>
          </w:tcPr>
          <w:p w:rsidR="00517F8E" w:rsidRPr="00517F8E" w:rsidRDefault="00517F8E" w:rsidP="00F60562">
            <w:pPr>
              <w:rPr>
                <w:rFonts w:asciiTheme="minorHAnsi" w:hAnsiTheme="minorHAnsi"/>
                <w:sz w:val="22"/>
                <w:szCs w:val="22"/>
                <w:lang w:val="en-GB"/>
              </w:rPr>
            </w:pPr>
            <w:r>
              <w:rPr>
                <w:rFonts w:asciiTheme="minorHAnsi" w:hAnsiTheme="minorHAnsi"/>
                <w:sz w:val="22"/>
                <w:szCs w:val="22"/>
                <w:lang w:val="en-GB"/>
              </w:rPr>
              <w:t xml:space="preserve">Writing </w:t>
            </w:r>
          </w:p>
        </w:tc>
        <w:tc>
          <w:tcPr>
            <w:tcW w:w="1134" w:type="dxa"/>
          </w:tcPr>
          <w:p w:rsidR="00517F8E" w:rsidRPr="00517F8E" w:rsidRDefault="00517F8E" w:rsidP="00F60562">
            <w:pPr>
              <w:rPr>
                <w:rFonts w:asciiTheme="minorHAnsi" w:hAnsiTheme="minorHAnsi"/>
                <w:sz w:val="22"/>
                <w:szCs w:val="22"/>
                <w:lang w:val="en-GB"/>
              </w:rPr>
            </w:pPr>
            <w:r>
              <w:rPr>
                <w:rFonts w:asciiTheme="minorHAnsi" w:hAnsiTheme="minorHAnsi"/>
                <w:sz w:val="22"/>
                <w:szCs w:val="22"/>
                <w:lang w:val="en-GB"/>
              </w:rPr>
              <w:t xml:space="preserve">Maths </w:t>
            </w:r>
          </w:p>
        </w:tc>
      </w:tr>
      <w:tr w:rsidR="00517F8E" w:rsidRPr="00517F8E" w:rsidTr="00F60562">
        <w:trPr>
          <w:trHeight w:val="330"/>
        </w:trPr>
        <w:tc>
          <w:tcPr>
            <w:tcW w:w="2907" w:type="dxa"/>
          </w:tcPr>
          <w:p w:rsidR="00517F8E" w:rsidRPr="00517F8E" w:rsidRDefault="00517F8E" w:rsidP="00F60562">
            <w:pPr>
              <w:rPr>
                <w:rFonts w:asciiTheme="minorHAnsi" w:hAnsiTheme="minorHAnsi"/>
                <w:sz w:val="22"/>
                <w:szCs w:val="22"/>
                <w:lang w:val="en-GB"/>
              </w:rPr>
            </w:pPr>
            <w:r w:rsidRPr="00517F8E">
              <w:rPr>
                <w:rFonts w:asciiTheme="minorHAnsi" w:hAnsiTheme="minorHAnsi"/>
                <w:sz w:val="22"/>
                <w:szCs w:val="22"/>
                <w:lang w:val="en-GB"/>
              </w:rPr>
              <w:t>LESS THAN EXPECTED PROGRESS</w:t>
            </w:r>
          </w:p>
        </w:tc>
        <w:tc>
          <w:tcPr>
            <w:tcW w:w="1312" w:type="dxa"/>
          </w:tcPr>
          <w:p w:rsidR="00517F8E" w:rsidRPr="00517F8E" w:rsidRDefault="00517F8E" w:rsidP="00F60562">
            <w:pPr>
              <w:rPr>
                <w:rFonts w:asciiTheme="minorHAnsi" w:hAnsiTheme="minorHAnsi"/>
                <w:sz w:val="22"/>
                <w:szCs w:val="22"/>
                <w:lang w:val="en-GB"/>
              </w:rPr>
            </w:pPr>
            <w:r>
              <w:rPr>
                <w:rFonts w:asciiTheme="minorHAnsi" w:hAnsiTheme="minorHAnsi"/>
                <w:sz w:val="22"/>
                <w:szCs w:val="22"/>
                <w:lang w:val="en-GB"/>
              </w:rPr>
              <w:t>0%</w:t>
            </w:r>
          </w:p>
        </w:tc>
        <w:tc>
          <w:tcPr>
            <w:tcW w:w="1134" w:type="dxa"/>
          </w:tcPr>
          <w:p w:rsidR="00517F8E" w:rsidRPr="00517F8E" w:rsidRDefault="00517F8E" w:rsidP="00F60562">
            <w:pPr>
              <w:rPr>
                <w:rFonts w:asciiTheme="minorHAnsi" w:hAnsiTheme="minorHAnsi"/>
                <w:sz w:val="22"/>
                <w:szCs w:val="22"/>
                <w:lang w:val="en-GB"/>
              </w:rPr>
            </w:pPr>
            <w:r>
              <w:rPr>
                <w:rFonts w:asciiTheme="minorHAnsi" w:hAnsiTheme="minorHAnsi"/>
                <w:sz w:val="22"/>
                <w:szCs w:val="22"/>
                <w:lang w:val="en-GB"/>
              </w:rPr>
              <w:t>1%</w:t>
            </w:r>
          </w:p>
        </w:tc>
        <w:tc>
          <w:tcPr>
            <w:tcW w:w="1134" w:type="dxa"/>
          </w:tcPr>
          <w:p w:rsidR="00517F8E" w:rsidRPr="00517F8E" w:rsidRDefault="00517F8E" w:rsidP="00F60562">
            <w:pPr>
              <w:rPr>
                <w:rFonts w:asciiTheme="minorHAnsi" w:hAnsiTheme="minorHAnsi"/>
                <w:sz w:val="22"/>
                <w:szCs w:val="22"/>
                <w:lang w:val="en-GB"/>
              </w:rPr>
            </w:pPr>
            <w:r>
              <w:rPr>
                <w:rFonts w:asciiTheme="minorHAnsi" w:hAnsiTheme="minorHAnsi"/>
                <w:sz w:val="22"/>
                <w:szCs w:val="22"/>
                <w:lang w:val="en-GB"/>
              </w:rPr>
              <w:t>2%</w:t>
            </w:r>
          </w:p>
        </w:tc>
      </w:tr>
      <w:tr w:rsidR="00517F8E" w:rsidRPr="00517F8E" w:rsidTr="00F60562">
        <w:trPr>
          <w:trHeight w:val="330"/>
        </w:trPr>
        <w:tc>
          <w:tcPr>
            <w:tcW w:w="2907" w:type="dxa"/>
          </w:tcPr>
          <w:p w:rsidR="00517F8E" w:rsidRPr="00517F8E" w:rsidRDefault="00517F8E" w:rsidP="00F60562">
            <w:pPr>
              <w:rPr>
                <w:rFonts w:asciiTheme="minorHAnsi" w:hAnsiTheme="minorHAnsi"/>
                <w:sz w:val="22"/>
                <w:szCs w:val="22"/>
                <w:lang w:val="en-GB"/>
              </w:rPr>
            </w:pPr>
            <w:r w:rsidRPr="00517F8E">
              <w:rPr>
                <w:rFonts w:asciiTheme="minorHAnsi" w:hAnsiTheme="minorHAnsi"/>
                <w:sz w:val="22"/>
                <w:szCs w:val="22"/>
                <w:lang w:val="en-GB"/>
              </w:rPr>
              <w:t>EXPECTED PROGRESS</w:t>
            </w:r>
          </w:p>
        </w:tc>
        <w:tc>
          <w:tcPr>
            <w:tcW w:w="1312" w:type="dxa"/>
          </w:tcPr>
          <w:p w:rsidR="00517F8E" w:rsidRPr="00517F8E" w:rsidRDefault="00517F8E" w:rsidP="00F60562">
            <w:pPr>
              <w:rPr>
                <w:rFonts w:asciiTheme="minorHAnsi" w:hAnsiTheme="minorHAnsi"/>
                <w:sz w:val="22"/>
                <w:szCs w:val="22"/>
                <w:lang w:val="en-GB"/>
              </w:rPr>
            </w:pPr>
            <w:r>
              <w:rPr>
                <w:rFonts w:asciiTheme="minorHAnsi" w:hAnsiTheme="minorHAnsi"/>
                <w:sz w:val="22"/>
                <w:szCs w:val="22"/>
                <w:lang w:val="en-GB"/>
              </w:rPr>
              <w:t>91%</w:t>
            </w:r>
          </w:p>
        </w:tc>
        <w:tc>
          <w:tcPr>
            <w:tcW w:w="1134" w:type="dxa"/>
          </w:tcPr>
          <w:p w:rsidR="00517F8E" w:rsidRPr="00517F8E" w:rsidRDefault="00517F8E" w:rsidP="00F60562">
            <w:pPr>
              <w:rPr>
                <w:rFonts w:asciiTheme="minorHAnsi" w:hAnsiTheme="minorHAnsi"/>
                <w:sz w:val="22"/>
                <w:szCs w:val="22"/>
                <w:lang w:val="en-GB"/>
              </w:rPr>
            </w:pPr>
            <w:r>
              <w:rPr>
                <w:rFonts w:asciiTheme="minorHAnsi" w:hAnsiTheme="minorHAnsi"/>
                <w:sz w:val="22"/>
                <w:szCs w:val="22"/>
                <w:lang w:val="en-GB"/>
              </w:rPr>
              <w:t>87%</w:t>
            </w:r>
          </w:p>
        </w:tc>
        <w:tc>
          <w:tcPr>
            <w:tcW w:w="1134" w:type="dxa"/>
          </w:tcPr>
          <w:p w:rsidR="00517F8E" w:rsidRPr="00517F8E" w:rsidRDefault="00517F8E" w:rsidP="00F60562">
            <w:pPr>
              <w:rPr>
                <w:rFonts w:asciiTheme="minorHAnsi" w:hAnsiTheme="minorHAnsi"/>
                <w:sz w:val="22"/>
                <w:szCs w:val="22"/>
                <w:lang w:val="en-GB"/>
              </w:rPr>
            </w:pPr>
            <w:r>
              <w:rPr>
                <w:rFonts w:asciiTheme="minorHAnsi" w:hAnsiTheme="minorHAnsi"/>
                <w:sz w:val="22"/>
                <w:szCs w:val="22"/>
                <w:lang w:val="en-GB"/>
              </w:rPr>
              <w:t>75%</w:t>
            </w:r>
          </w:p>
        </w:tc>
      </w:tr>
      <w:tr w:rsidR="00517F8E" w:rsidRPr="00517F8E" w:rsidTr="00F60562">
        <w:trPr>
          <w:trHeight w:val="330"/>
        </w:trPr>
        <w:tc>
          <w:tcPr>
            <w:tcW w:w="2907" w:type="dxa"/>
          </w:tcPr>
          <w:p w:rsidR="00517F8E" w:rsidRPr="00517F8E" w:rsidRDefault="00517F8E" w:rsidP="00F60562">
            <w:pPr>
              <w:rPr>
                <w:rFonts w:asciiTheme="minorHAnsi" w:hAnsiTheme="minorHAnsi"/>
                <w:sz w:val="22"/>
                <w:szCs w:val="22"/>
                <w:lang w:val="en-GB"/>
              </w:rPr>
            </w:pPr>
            <w:r w:rsidRPr="00517F8E">
              <w:rPr>
                <w:rFonts w:asciiTheme="minorHAnsi" w:hAnsiTheme="minorHAnsi"/>
                <w:sz w:val="22"/>
                <w:szCs w:val="22"/>
                <w:lang w:val="en-GB"/>
              </w:rPr>
              <w:t>GOOD/OUTSTANDING  PROGRESS</w:t>
            </w:r>
          </w:p>
        </w:tc>
        <w:tc>
          <w:tcPr>
            <w:tcW w:w="1312" w:type="dxa"/>
          </w:tcPr>
          <w:p w:rsidR="00517F8E" w:rsidRPr="00517F8E" w:rsidRDefault="00517F8E" w:rsidP="00F60562">
            <w:pPr>
              <w:rPr>
                <w:rFonts w:asciiTheme="minorHAnsi" w:hAnsiTheme="minorHAnsi"/>
                <w:sz w:val="22"/>
                <w:szCs w:val="22"/>
                <w:lang w:val="en-GB"/>
              </w:rPr>
            </w:pPr>
            <w:r>
              <w:rPr>
                <w:rFonts w:asciiTheme="minorHAnsi" w:hAnsiTheme="minorHAnsi"/>
                <w:sz w:val="22"/>
                <w:szCs w:val="22"/>
                <w:lang w:val="en-GB"/>
              </w:rPr>
              <w:t>9%</w:t>
            </w:r>
          </w:p>
        </w:tc>
        <w:tc>
          <w:tcPr>
            <w:tcW w:w="1134" w:type="dxa"/>
          </w:tcPr>
          <w:p w:rsidR="00517F8E" w:rsidRPr="00517F8E" w:rsidRDefault="00517F8E" w:rsidP="00F60562">
            <w:pPr>
              <w:rPr>
                <w:rFonts w:asciiTheme="minorHAnsi" w:hAnsiTheme="minorHAnsi"/>
                <w:sz w:val="22"/>
                <w:szCs w:val="22"/>
                <w:lang w:val="en-GB"/>
              </w:rPr>
            </w:pPr>
            <w:r>
              <w:rPr>
                <w:rFonts w:asciiTheme="minorHAnsi" w:hAnsiTheme="minorHAnsi"/>
                <w:sz w:val="22"/>
                <w:szCs w:val="22"/>
                <w:lang w:val="en-GB"/>
              </w:rPr>
              <w:t>12%</w:t>
            </w:r>
          </w:p>
        </w:tc>
        <w:tc>
          <w:tcPr>
            <w:tcW w:w="1134" w:type="dxa"/>
          </w:tcPr>
          <w:p w:rsidR="00517F8E" w:rsidRPr="00517F8E" w:rsidRDefault="00517F8E" w:rsidP="00F60562">
            <w:pPr>
              <w:rPr>
                <w:rFonts w:asciiTheme="minorHAnsi" w:hAnsiTheme="minorHAnsi"/>
                <w:sz w:val="22"/>
                <w:szCs w:val="22"/>
                <w:lang w:val="en-GB"/>
              </w:rPr>
            </w:pPr>
            <w:r>
              <w:rPr>
                <w:rFonts w:asciiTheme="minorHAnsi" w:hAnsiTheme="minorHAnsi"/>
                <w:sz w:val="22"/>
                <w:szCs w:val="22"/>
                <w:lang w:val="en-GB"/>
              </w:rPr>
              <w:t>23%</w:t>
            </w:r>
          </w:p>
        </w:tc>
      </w:tr>
    </w:tbl>
    <w:p w:rsidR="00517F8E" w:rsidRPr="00545F44" w:rsidRDefault="00517F8E" w:rsidP="00517F8E">
      <w:pPr>
        <w:jc w:val="both"/>
      </w:pPr>
    </w:p>
    <w:p w:rsidR="001F5D50" w:rsidRPr="00545F44" w:rsidRDefault="001F5D50" w:rsidP="001F5D50">
      <w:pPr>
        <w:jc w:val="both"/>
        <w:rPr>
          <w:b/>
        </w:rPr>
      </w:pPr>
    </w:p>
    <w:p w:rsidR="008A4D08" w:rsidRDefault="008A4D08" w:rsidP="001F5D50">
      <w:pPr>
        <w:jc w:val="both"/>
        <w:rPr>
          <w:b/>
        </w:rPr>
      </w:pPr>
    </w:p>
    <w:p w:rsidR="008A4D08" w:rsidRDefault="008A4D08" w:rsidP="001F5D50">
      <w:pPr>
        <w:jc w:val="both"/>
        <w:rPr>
          <w:b/>
        </w:rPr>
      </w:pPr>
    </w:p>
    <w:p w:rsidR="008A4D08" w:rsidRDefault="008A4D08" w:rsidP="001F5D50">
      <w:pPr>
        <w:jc w:val="both"/>
        <w:rPr>
          <w:b/>
        </w:rPr>
      </w:pPr>
    </w:p>
    <w:p w:rsidR="008A4D08" w:rsidRDefault="008A4D08" w:rsidP="001F5D50">
      <w:pPr>
        <w:jc w:val="both"/>
        <w:rPr>
          <w:b/>
        </w:rPr>
      </w:pPr>
    </w:p>
    <w:p w:rsidR="008A4D08" w:rsidRDefault="008A4D08" w:rsidP="001F5D50">
      <w:pPr>
        <w:jc w:val="both"/>
        <w:rPr>
          <w:b/>
        </w:rPr>
      </w:pPr>
    </w:p>
    <w:p w:rsidR="001F5D50" w:rsidRPr="00E569EF" w:rsidRDefault="001F5D50" w:rsidP="001F5D50">
      <w:pPr>
        <w:jc w:val="both"/>
        <w:rPr>
          <w:b/>
        </w:rPr>
      </w:pPr>
      <w:r w:rsidRPr="00E569EF">
        <w:rPr>
          <w:b/>
        </w:rPr>
        <w:lastRenderedPageBreak/>
        <w:t xml:space="preserve">Strategic Plans for Developing and Enhancing SEND Provision </w:t>
      </w:r>
    </w:p>
    <w:p w:rsidR="001F5D50" w:rsidRDefault="001F5D50" w:rsidP="001F5D50">
      <w:pPr>
        <w:jc w:val="both"/>
      </w:pPr>
      <w:r w:rsidRPr="00E569EF">
        <w:t>Strategic plans for developing and enhancing SEND provision in our school next year include:</w:t>
      </w:r>
    </w:p>
    <w:p w:rsidR="003D3B68" w:rsidRPr="00E569EF" w:rsidRDefault="003D3B68" w:rsidP="001F5D50">
      <w:pPr>
        <w:jc w:val="both"/>
      </w:pPr>
    </w:p>
    <w:p w:rsidR="001F5D50" w:rsidRPr="00642B7A" w:rsidRDefault="00545F44" w:rsidP="00642B7A">
      <w:pPr>
        <w:pStyle w:val="ListParagraph"/>
        <w:numPr>
          <w:ilvl w:val="0"/>
          <w:numId w:val="42"/>
        </w:numPr>
        <w:jc w:val="both"/>
        <w:rPr>
          <w:color w:val="7030A0"/>
        </w:rPr>
      </w:pPr>
      <w:r>
        <w:t>To assess support and expectations of children with SEND through book monitoring and work samples</w:t>
      </w:r>
    </w:p>
    <w:p w:rsidR="00545F44" w:rsidRPr="00642B7A" w:rsidRDefault="00545F44" w:rsidP="00642B7A">
      <w:pPr>
        <w:pStyle w:val="ListParagraph"/>
        <w:numPr>
          <w:ilvl w:val="0"/>
          <w:numId w:val="42"/>
        </w:numPr>
        <w:jc w:val="both"/>
        <w:rPr>
          <w:color w:val="7030A0"/>
        </w:rPr>
      </w:pPr>
      <w:r>
        <w:t>To work closely with our attendance officer to improve attendance for children with SEND</w:t>
      </w:r>
    </w:p>
    <w:p w:rsidR="00545F44" w:rsidRPr="00642B7A" w:rsidRDefault="00545F44" w:rsidP="00642B7A">
      <w:pPr>
        <w:pStyle w:val="ListParagraph"/>
        <w:numPr>
          <w:ilvl w:val="0"/>
          <w:numId w:val="42"/>
        </w:numPr>
        <w:jc w:val="both"/>
        <w:rPr>
          <w:color w:val="7030A0"/>
        </w:rPr>
      </w:pPr>
      <w:r>
        <w:t xml:space="preserve">To </w:t>
      </w:r>
      <w:r w:rsidR="00642B7A">
        <w:t xml:space="preserve">continue to </w:t>
      </w:r>
      <w:r>
        <w:t>coordinate SEND provision (whole school) to ensure children are receiving support that is additional to and different from their peers</w:t>
      </w:r>
    </w:p>
    <w:p w:rsidR="00642B7A" w:rsidRPr="00642B7A" w:rsidRDefault="00642B7A" w:rsidP="00642B7A">
      <w:pPr>
        <w:pStyle w:val="ListParagraph"/>
        <w:numPr>
          <w:ilvl w:val="0"/>
          <w:numId w:val="42"/>
        </w:numPr>
        <w:jc w:val="both"/>
        <w:rPr>
          <w:color w:val="7030A0"/>
        </w:rPr>
      </w:pPr>
      <w:r>
        <w:t>To increase the number of children with SEND who are accessing extracurricular activities</w:t>
      </w:r>
    </w:p>
    <w:p w:rsidR="00642B7A" w:rsidRPr="00642B7A" w:rsidRDefault="00642B7A" w:rsidP="00642B7A">
      <w:pPr>
        <w:pStyle w:val="Default"/>
        <w:numPr>
          <w:ilvl w:val="0"/>
          <w:numId w:val="42"/>
        </w:numPr>
        <w:rPr>
          <w:rFonts w:ascii="Century Gothic" w:hAnsi="Century Gothic"/>
        </w:rPr>
      </w:pPr>
      <w:r w:rsidRPr="00642B7A">
        <w:rPr>
          <w:rFonts w:ascii="Century Gothic" w:hAnsi="Century Gothic"/>
        </w:rPr>
        <w:t>To work with ‘School Improvement Partner’ (SIP) to eval</w:t>
      </w:r>
      <w:r w:rsidR="00027AA2">
        <w:rPr>
          <w:rFonts w:ascii="Century Gothic" w:hAnsi="Century Gothic"/>
        </w:rPr>
        <w:t>uate SEN</w:t>
      </w:r>
      <w:r w:rsidRPr="00642B7A">
        <w:rPr>
          <w:rFonts w:ascii="Century Gothic" w:hAnsi="Century Gothic"/>
        </w:rPr>
        <w:t xml:space="preserve">D throughout the school </w:t>
      </w:r>
    </w:p>
    <w:p w:rsidR="00642B7A" w:rsidRPr="00545F44" w:rsidRDefault="00642B7A" w:rsidP="00642B7A">
      <w:pPr>
        <w:ind w:left="360"/>
        <w:jc w:val="both"/>
        <w:rPr>
          <w:color w:val="7030A0"/>
        </w:rPr>
      </w:pPr>
    </w:p>
    <w:p w:rsidR="001F5D50" w:rsidRPr="00E569EF" w:rsidRDefault="001F5D50" w:rsidP="001F5D50">
      <w:pPr>
        <w:jc w:val="both"/>
        <w:rPr>
          <w:b/>
        </w:rPr>
      </w:pPr>
      <w:r w:rsidRPr="00E569EF">
        <w:rPr>
          <w:b/>
        </w:rPr>
        <w:t>Complaints</w:t>
      </w:r>
    </w:p>
    <w:p w:rsidR="001F5D50" w:rsidRPr="00E569EF" w:rsidRDefault="001F5D50" w:rsidP="001F5D50">
      <w:pPr>
        <w:jc w:val="both"/>
        <w:rPr>
          <w:b/>
        </w:rPr>
      </w:pPr>
      <w:r w:rsidRPr="00E569EF">
        <w:t>If you wish to make a complaint please follow our school complaints policy which you can find on our school website</w:t>
      </w:r>
      <w:r>
        <w:t>,</w:t>
      </w:r>
      <w:r w:rsidRPr="00E569EF">
        <w:t xml:space="preserve"> or request a copy from our school office.   </w:t>
      </w:r>
    </w:p>
    <w:p w:rsidR="001F5D50" w:rsidRPr="00E569EF" w:rsidRDefault="001F5D50" w:rsidP="001F5D50">
      <w:pPr>
        <w:jc w:val="both"/>
      </w:pPr>
    </w:p>
    <w:p w:rsidR="001F5D50" w:rsidRPr="00E569EF" w:rsidRDefault="001F5D50" w:rsidP="001F5D50">
      <w:pPr>
        <w:jc w:val="both"/>
      </w:pPr>
      <w:r w:rsidRPr="00E569EF">
        <w:rPr>
          <w:b/>
        </w:rPr>
        <w:t xml:space="preserve"> The Local Offer</w:t>
      </w:r>
    </w:p>
    <w:p w:rsidR="003D3B68" w:rsidRDefault="001F5D50" w:rsidP="001F5D50">
      <w:pPr>
        <w:jc w:val="both"/>
      </w:pPr>
      <w:r w:rsidRPr="00E569EF">
        <w:t>Our School Local Offer can be found in the Liverpool E</w:t>
      </w:r>
      <w:r w:rsidR="003D3B68">
        <w:t xml:space="preserve">arly Help Directory on the Liverpool city </w:t>
      </w:r>
      <w:r w:rsidRPr="00E569EF">
        <w:t>council website:</w:t>
      </w:r>
      <w:r w:rsidR="00642B7A" w:rsidRPr="00642B7A">
        <w:t xml:space="preserve"> </w:t>
      </w:r>
    </w:p>
    <w:p w:rsidR="001F5D50" w:rsidRDefault="00014AA4" w:rsidP="001F5D50">
      <w:pPr>
        <w:jc w:val="both"/>
      </w:pPr>
      <w:hyperlink r:id="rId10" w:history="1">
        <w:r w:rsidR="003D3B68" w:rsidRPr="00D85A23">
          <w:rPr>
            <w:rStyle w:val="Hyperlink"/>
          </w:rPr>
          <w:t>http://fsd.liverpool.gov.uk/kb5/liverpool/fsd/localoffer.page</w:t>
        </w:r>
      </w:hyperlink>
      <w:r w:rsidR="001F5D50" w:rsidRPr="00E569EF">
        <w:t xml:space="preserve"> </w:t>
      </w:r>
    </w:p>
    <w:p w:rsidR="003D3B68" w:rsidRPr="00E569EF" w:rsidRDefault="003D3B68" w:rsidP="001F5D50">
      <w:pPr>
        <w:jc w:val="both"/>
        <w:rPr>
          <w:b/>
          <w:u w:val="single"/>
        </w:rPr>
      </w:pPr>
    </w:p>
    <w:p w:rsidR="001F5D50" w:rsidRPr="00E569EF" w:rsidRDefault="001F5D50" w:rsidP="001F5D50">
      <w:pPr>
        <w:jc w:val="both"/>
        <w:rPr>
          <w:sz w:val="16"/>
          <w:szCs w:val="16"/>
          <w:lang w:val="de-DE"/>
        </w:rPr>
      </w:pPr>
    </w:p>
    <w:p w:rsidR="001F5D50" w:rsidRPr="00E569EF" w:rsidRDefault="001F5D50" w:rsidP="001F5D50">
      <w:pPr>
        <w:jc w:val="both"/>
        <w:rPr>
          <w:b/>
        </w:rPr>
      </w:pPr>
      <w:r w:rsidRPr="00E569EF">
        <w:rPr>
          <w:b/>
        </w:rPr>
        <w:t xml:space="preserve">Date presented to/approved by Governing Body:  </w:t>
      </w:r>
      <w:r w:rsidR="003D3B68">
        <w:t>September 2017</w:t>
      </w:r>
    </w:p>
    <w:p w:rsidR="001F5D50" w:rsidRPr="00E569EF" w:rsidRDefault="001F5D50" w:rsidP="001F5D50">
      <w:pPr>
        <w:jc w:val="both"/>
        <w:rPr>
          <w:b/>
          <w:lang w:val="de-DE"/>
        </w:rPr>
      </w:pPr>
    </w:p>
    <w:p w:rsidR="001F5D50" w:rsidRPr="00E569EF" w:rsidRDefault="003D3B68" w:rsidP="001F5D50">
      <w:pPr>
        <w:jc w:val="both"/>
        <w:rPr>
          <w:b/>
          <w:lang w:val="de-DE"/>
        </w:rPr>
      </w:pPr>
      <w:r>
        <w:rPr>
          <w:b/>
          <w:lang w:val="de-DE"/>
        </w:rPr>
        <w:t xml:space="preserve">Review Date </w:t>
      </w:r>
      <w:r w:rsidRPr="003D3B68">
        <w:rPr>
          <w:lang w:val="de-DE"/>
        </w:rPr>
        <w:t>Autumn 2018</w:t>
      </w:r>
    </w:p>
    <w:p w:rsidR="003D3B68" w:rsidRDefault="003D3B68" w:rsidP="001F5D50">
      <w:pPr>
        <w:jc w:val="both"/>
        <w:rPr>
          <w:b/>
          <w:lang w:val="de-DE"/>
        </w:rPr>
      </w:pPr>
    </w:p>
    <w:p w:rsidR="003D3B68" w:rsidRPr="00E569EF" w:rsidRDefault="003D3B68" w:rsidP="001F5D50">
      <w:pPr>
        <w:jc w:val="both"/>
        <w:rPr>
          <w:b/>
          <w:lang w:val="de-DE"/>
        </w:rPr>
      </w:pPr>
    </w:p>
    <w:p w:rsidR="00027AA2" w:rsidRDefault="00027AA2" w:rsidP="001F5D50">
      <w:pPr>
        <w:jc w:val="both"/>
        <w:rPr>
          <w:b/>
          <w:lang w:val="de-DE"/>
        </w:rPr>
      </w:pPr>
    </w:p>
    <w:p w:rsidR="00027AA2" w:rsidRDefault="00027AA2" w:rsidP="001F5D50">
      <w:pPr>
        <w:jc w:val="both"/>
        <w:rPr>
          <w:b/>
          <w:lang w:val="de-DE"/>
        </w:rPr>
      </w:pPr>
    </w:p>
    <w:p w:rsidR="00027AA2" w:rsidRDefault="00027AA2" w:rsidP="001F5D50">
      <w:pPr>
        <w:jc w:val="both"/>
        <w:rPr>
          <w:b/>
          <w:lang w:val="de-DE"/>
        </w:rPr>
      </w:pPr>
    </w:p>
    <w:p w:rsidR="00027AA2" w:rsidRDefault="00027AA2" w:rsidP="001F5D50">
      <w:pPr>
        <w:jc w:val="both"/>
        <w:rPr>
          <w:b/>
          <w:lang w:val="de-DE"/>
        </w:rPr>
      </w:pPr>
    </w:p>
    <w:p w:rsidR="00027AA2" w:rsidRDefault="00027AA2" w:rsidP="001F5D50">
      <w:pPr>
        <w:jc w:val="both"/>
        <w:rPr>
          <w:b/>
          <w:lang w:val="de-DE"/>
        </w:rPr>
      </w:pPr>
    </w:p>
    <w:p w:rsidR="008A4D08" w:rsidRDefault="008A4D08" w:rsidP="001F5D50">
      <w:pPr>
        <w:jc w:val="both"/>
        <w:rPr>
          <w:b/>
          <w:lang w:val="de-DE"/>
        </w:rPr>
      </w:pPr>
    </w:p>
    <w:p w:rsidR="008A4D08" w:rsidRDefault="008A4D08" w:rsidP="001F5D50">
      <w:pPr>
        <w:jc w:val="both"/>
        <w:rPr>
          <w:b/>
          <w:lang w:val="de-DE"/>
        </w:rPr>
      </w:pPr>
    </w:p>
    <w:p w:rsidR="008A4D08" w:rsidRDefault="008A4D08" w:rsidP="001F5D50">
      <w:pPr>
        <w:jc w:val="both"/>
        <w:rPr>
          <w:b/>
          <w:lang w:val="de-DE"/>
        </w:rPr>
      </w:pPr>
    </w:p>
    <w:p w:rsidR="001F5D50" w:rsidRPr="00E569EF" w:rsidRDefault="001F5D50" w:rsidP="001F5D50">
      <w:pPr>
        <w:jc w:val="both"/>
        <w:rPr>
          <w:b/>
          <w:lang w:val="de-DE"/>
        </w:rPr>
      </w:pPr>
      <w:r w:rsidRPr="00E569EF">
        <w:rPr>
          <w:b/>
          <w:lang w:val="de-DE"/>
        </w:rPr>
        <w:lastRenderedPageBreak/>
        <w:t xml:space="preserve">Glossary        </w:t>
      </w:r>
    </w:p>
    <w:p w:rsidR="001F5D50" w:rsidRPr="00E569EF" w:rsidRDefault="001F5D50" w:rsidP="001F5D50">
      <w:pPr>
        <w:jc w:val="both"/>
        <w:rPr>
          <w:lang w:val="de-DE"/>
        </w:rPr>
      </w:pPr>
    </w:p>
    <w:p w:rsidR="001F5D50" w:rsidRPr="00E569EF" w:rsidRDefault="001F5D50" w:rsidP="001F5D50">
      <w:pPr>
        <w:jc w:val="both"/>
        <w:rPr>
          <w:lang w:val="de-DE"/>
        </w:rPr>
      </w:pPr>
      <w:r w:rsidRPr="00E569EF">
        <w:rPr>
          <w:b/>
          <w:lang w:val="de-DE"/>
        </w:rPr>
        <w:t>SEND</w:t>
      </w:r>
      <w:r w:rsidRPr="00E569EF">
        <w:rPr>
          <w:lang w:val="de-DE"/>
        </w:rPr>
        <w:t xml:space="preserve">           Special Educational Need and/or Disability</w:t>
      </w:r>
    </w:p>
    <w:p w:rsidR="001F5D50" w:rsidRPr="00E569EF" w:rsidRDefault="001F5D50" w:rsidP="001F5D50">
      <w:pPr>
        <w:jc w:val="both"/>
        <w:rPr>
          <w:lang w:val="de-DE"/>
        </w:rPr>
      </w:pPr>
    </w:p>
    <w:p w:rsidR="001F5D50" w:rsidRPr="00E569EF" w:rsidRDefault="001F5D50" w:rsidP="001F5D50">
      <w:pPr>
        <w:jc w:val="both"/>
        <w:rPr>
          <w:lang w:val="de-DE"/>
        </w:rPr>
      </w:pPr>
      <w:r w:rsidRPr="00E569EF">
        <w:rPr>
          <w:b/>
          <w:lang w:val="de-DE"/>
        </w:rPr>
        <w:t xml:space="preserve">SENCo </w:t>
      </w:r>
      <w:r w:rsidRPr="00E569EF">
        <w:rPr>
          <w:lang w:val="de-DE"/>
        </w:rPr>
        <w:t xml:space="preserve">       Special Educational Need and/or Disability Coordinator</w:t>
      </w:r>
    </w:p>
    <w:p w:rsidR="001F5D50" w:rsidRPr="00E569EF" w:rsidRDefault="001F5D50" w:rsidP="001F5D50">
      <w:pPr>
        <w:jc w:val="both"/>
        <w:rPr>
          <w:lang w:val="de-DE"/>
        </w:rPr>
      </w:pPr>
    </w:p>
    <w:p w:rsidR="001F5D50" w:rsidRPr="00E569EF" w:rsidRDefault="001F5D50" w:rsidP="001F5D50">
      <w:pPr>
        <w:jc w:val="both"/>
        <w:rPr>
          <w:lang w:val="de-DE"/>
        </w:rPr>
      </w:pPr>
      <w:r w:rsidRPr="00E569EF">
        <w:rPr>
          <w:b/>
          <w:lang w:val="de-DE"/>
        </w:rPr>
        <w:t xml:space="preserve">ADHD    </w:t>
      </w:r>
      <w:r w:rsidRPr="00E569EF">
        <w:rPr>
          <w:lang w:val="de-DE"/>
        </w:rPr>
        <w:t xml:space="preserve">      Attention Deficit Hyperactivity Disorder</w:t>
      </w:r>
    </w:p>
    <w:p w:rsidR="001F5D50" w:rsidRPr="00E569EF" w:rsidRDefault="001F5D50" w:rsidP="001F5D50">
      <w:pPr>
        <w:jc w:val="both"/>
        <w:rPr>
          <w:lang w:val="de-DE"/>
        </w:rPr>
      </w:pPr>
    </w:p>
    <w:p w:rsidR="001F5D50" w:rsidRPr="00E569EF" w:rsidRDefault="001F5D50" w:rsidP="001F5D50">
      <w:pPr>
        <w:jc w:val="both"/>
        <w:rPr>
          <w:lang w:val="de-DE"/>
        </w:rPr>
      </w:pPr>
      <w:r w:rsidRPr="00E569EF">
        <w:rPr>
          <w:b/>
          <w:lang w:val="de-DE"/>
        </w:rPr>
        <w:t xml:space="preserve">ASD   </w:t>
      </w:r>
      <w:r w:rsidRPr="00E569EF">
        <w:rPr>
          <w:lang w:val="de-DE"/>
        </w:rPr>
        <w:t xml:space="preserve">          Autistic Spectrum Disorder</w:t>
      </w:r>
    </w:p>
    <w:p w:rsidR="001F5D50" w:rsidRPr="00E569EF" w:rsidRDefault="001F5D50" w:rsidP="001F5D50">
      <w:pPr>
        <w:jc w:val="both"/>
        <w:rPr>
          <w:lang w:val="de-DE"/>
        </w:rPr>
      </w:pPr>
    </w:p>
    <w:p w:rsidR="001F5D50" w:rsidRPr="00E569EF" w:rsidRDefault="001F5D50" w:rsidP="001F5D50">
      <w:pPr>
        <w:jc w:val="both"/>
        <w:rPr>
          <w:lang w:val="de-DE"/>
        </w:rPr>
      </w:pPr>
      <w:r w:rsidRPr="00E569EF">
        <w:rPr>
          <w:b/>
          <w:lang w:val="de-DE"/>
        </w:rPr>
        <w:t>CAMHS</w:t>
      </w:r>
      <w:r w:rsidRPr="00E569EF">
        <w:rPr>
          <w:lang w:val="de-DE"/>
        </w:rPr>
        <w:t xml:space="preserve">       Child and Adolecent Mental Health Services</w:t>
      </w:r>
    </w:p>
    <w:p w:rsidR="001F5D50" w:rsidRPr="00E569EF" w:rsidRDefault="001F5D50" w:rsidP="001F5D50">
      <w:pPr>
        <w:jc w:val="both"/>
        <w:rPr>
          <w:lang w:val="de-DE"/>
        </w:rPr>
      </w:pPr>
    </w:p>
    <w:p w:rsidR="001F5D50" w:rsidRPr="00E569EF" w:rsidRDefault="001F5D50" w:rsidP="001F5D50">
      <w:pPr>
        <w:jc w:val="both"/>
        <w:rPr>
          <w:lang w:val="de-DE"/>
        </w:rPr>
      </w:pPr>
      <w:r w:rsidRPr="00E569EF">
        <w:rPr>
          <w:b/>
          <w:lang w:val="de-DE"/>
        </w:rPr>
        <w:t>EHAT</w:t>
      </w:r>
      <w:r w:rsidRPr="00E569EF">
        <w:rPr>
          <w:lang w:val="de-DE"/>
        </w:rPr>
        <w:t xml:space="preserve">           Early Help Assessment Tool</w:t>
      </w:r>
    </w:p>
    <w:p w:rsidR="001F5D50" w:rsidRPr="00E569EF" w:rsidRDefault="001F5D50" w:rsidP="001F5D50">
      <w:pPr>
        <w:jc w:val="both"/>
        <w:rPr>
          <w:lang w:val="de-DE"/>
        </w:rPr>
      </w:pPr>
    </w:p>
    <w:p w:rsidR="001F5D50" w:rsidRPr="00E569EF" w:rsidRDefault="001F5D50" w:rsidP="001F5D50">
      <w:pPr>
        <w:jc w:val="both"/>
        <w:rPr>
          <w:lang w:val="de-DE"/>
        </w:rPr>
      </w:pPr>
      <w:r w:rsidRPr="00E569EF">
        <w:rPr>
          <w:b/>
          <w:lang w:val="de-DE"/>
        </w:rPr>
        <w:t>EHC</w:t>
      </w:r>
      <w:r w:rsidR="003D3B68">
        <w:rPr>
          <w:b/>
          <w:lang w:val="de-DE"/>
        </w:rPr>
        <w:t>P</w:t>
      </w:r>
      <w:r w:rsidRPr="00E569EF">
        <w:rPr>
          <w:b/>
          <w:lang w:val="de-DE"/>
        </w:rPr>
        <w:t xml:space="preserve">  </w:t>
      </w:r>
      <w:r w:rsidRPr="00E569EF">
        <w:rPr>
          <w:lang w:val="de-DE"/>
        </w:rPr>
        <w:t xml:space="preserve">          Educational Health and Care Plan </w:t>
      </w:r>
    </w:p>
    <w:p w:rsidR="001F5D50" w:rsidRPr="00E569EF" w:rsidRDefault="001F5D50" w:rsidP="001F5D50">
      <w:pPr>
        <w:jc w:val="both"/>
        <w:rPr>
          <w:lang w:val="de-DE"/>
        </w:rPr>
      </w:pPr>
    </w:p>
    <w:p w:rsidR="001F5D50" w:rsidRPr="00E569EF" w:rsidRDefault="001F5D50" w:rsidP="001F5D50">
      <w:pPr>
        <w:jc w:val="both"/>
        <w:rPr>
          <w:b/>
          <w:lang w:val="de-DE"/>
        </w:rPr>
      </w:pPr>
      <w:r w:rsidRPr="00E569EF">
        <w:rPr>
          <w:b/>
          <w:lang w:val="de-DE"/>
        </w:rPr>
        <w:t xml:space="preserve">SENISS        </w:t>
      </w:r>
      <w:r w:rsidRPr="00E569EF">
        <w:rPr>
          <w:lang w:val="de-DE"/>
        </w:rPr>
        <w:t>Special Educational Needs Inclusion Support Service</w:t>
      </w:r>
    </w:p>
    <w:p w:rsidR="001F5D50" w:rsidRPr="00E569EF" w:rsidRDefault="001F5D50" w:rsidP="001F5D50">
      <w:pPr>
        <w:jc w:val="both"/>
        <w:rPr>
          <w:lang w:val="de-DE"/>
        </w:rPr>
      </w:pPr>
    </w:p>
    <w:p w:rsidR="001F5D50" w:rsidRPr="00E569EF" w:rsidRDefault="001F5D50" w:rsidP="001F5D50">
      <w:pPr>
        <w:jc w:val="both"/>
        <w:rPr>
          <w:lang w:val="de-DE"/>
        </w:rPr>
      </w:pPr>
      <w:r w:rsidRPr="00E569EF">
        <w:rPr>
          <w:b/>
          <w:lang w:val="de-DE"/>
        </w:rPr>
        <w:t>EAL</w:t>
      </w:r>
      <w:r w:rsidRPr="00E569EF">
        <w:rPr>
          <w:lang w:val="de-DE"/>
        </w:rPr>
        <w:t xml:space="preserve">            English as an Additional Language </w:t>
      </w:r>
    </w:p>
    <w:p w:rsidR="001F5D50" w:rsidRPr="00E569EF" w:rsidRDefault="001F5D50" w:rsidP="001F5D50">
      <w:pPr>
        <w:jc w:val="both"/>
        <w:rPr>
          <w:lang w:val="de-DE"/>
        </w:rPr>
      </w:pPr>
    </w:p>
    <w:p w:rsidR="001F5D50" w:rsidRPr="00E569EF" w:rsidRDefault="001F5D50" w:rsidP="001F5D50">
      <w:pPr>
        <w:jc w:val="both"/>
        <w:rPr>
          <w:lang w:val="de-DE"/>
        </w:rPr>
      </w:pPr>
      <w:r w:rsidRPr="00E569EF">
        <w:rPr>
          <w:b/>
          <w:lang w:val="de-DE"/>
        </w:rPr>
        <w:t xml:space="preserve">TAF </w:t>
      </w:r>
      <w:r w:rsidRPr="00E569EF">
        <w:rPr>
          <w:lang w:val="de-DE"/>
        </w:rPr>
        <w:tab/>
        <w:t xml:space="preserve">       Team around the Family </w:t>
      </w:r>
    </w:p>
    <w:p w:rsidR="001F5D50" w:rsidRPr="00E569EF" w:rsidRDefault="001F5D50" w:rsidP="001F5D50">
      <w:pPr>
        <w:jc w:val="both"/>
        <w:rPr>
          <w:lang w:val="de-DE"/>
        </w:rPr>
      </w:pPr>
    </w:p>
    <w:p w:rsidR="001F5D50" w:rsidRPr="00E569EF" w:rsidRDefault="001F5D50" w:rsidP="001F5D50">
      <w:pPr>
        <w:jc w:val="both"/>
        <w:rPr>
          <w:lang w:val="de-DE"/>
        </w:rPr>
      </w:pPr>
      <w:r w:rsidRPr="00E569EF">
        <w:rPr>
          <w:b/>
          <w:lang w:val="de-DE"/>
        </w:rPr>
        <w:t xml:space="preserve">PIVATS     </w:t>
      </w:r>
      <w:r w:rsidRPr="00E569EF">
        <w:rPr>
          <w:lang w:val="de-DE"/>
        </w:rPr>
        <w:t xml:space="preserve">Perormance Indicators for Value Added Target Setting  </w:t>
      </w:r>
    </w:p>
    <w:p w:rsidR="001F5D50" w:rsidRPr="007E2510" w:rsidRDefault="001F5D50" w:rsidP="001F5D50">
      <w:pPr>
        <w:rPr>
          <w:rFonts w:ascii="Comic Sans MS" w:hAnsi="Comic Sans MS"/>
          <w:b/>
        </w:rPr>
      </w:pPr>
    </w:p>
    <w:p w:rsidR="001F5D50" w:rsidRDefault="001F5D50" w:rsidP="001F5D50">
      <w:pPr>
        <w:rPr>
          <w:b/>
        </w:rPr>
      </w:pPr>
    </w:p>
    <w:p w:rsidR="007E2510" w:rsidRDefault="007E2510">
      <w:pPr>
        <w:rPr>
          <w:b/>
        </w:rPr>
      </w:pPr>
    </w:p>
    <w:sectPr w:rsidR="007E2510" w:rsidSect="00550D6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567" w:footer="473" w:gutter="0"/>
      <w:pgBorders w:offsetFrom="page">
        <w:top w:val="single" w:sz="36" w:space="24" w:color="7030A0"/>
        <w:left w:val="single" w:sz="36" w:space="24" w:color="7030A0"/>
        <w:bottom w:val="single" w:sz="36" w:space="24" w:color="7030A0"/>
        <w:right w:val="single" w:sz="36" w:space="24" w:color="7030A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77A" w:rsidRDefault="0025477A" w:rsidP="0095280C">
      <w:r>
        <w:separator/>
      </w:r>
    </w:p>
  </w:endnote>
  <w:endnote w:type="continuationSeparator" w:id="0">
    <w:p w:rsidR="0025477A" w:rsidRDefault="0025477A" w:rsidP="00952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D6B" w:rsidRDefault="00550D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808" w:rsidRPr="00BA0E12" w:rsidRDefault="007C7808" w:rsidP="00106239">
    <w:pPr>
      <w:pStyle w:val="Footer"/>
      <w:jc w:val="center"/>
      <w:rPr>
        <w:rFonts w:ascii="Comic Sans MS" w:hAnsi="Comic Sans MS"/>
        <w:b/>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D6B" w:rsidRDefault="00550D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77A" w:rsidRDefault="0025477A" w:rsidP="0095280C">
      <w:r>
        <w:separator/>
      </w:r>
    </w:p>
  </w:footnote>
  <w:footnote w:type="continuationSeparator" w:id="0">
    <w:p w:rsidR="0025477A" w:rsidRDefault="0025477A" w:rsidP="009528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D6B" w:rsidRDefault="00550D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293" w:rsidRPr="007C7808" w:rsidRDefault="0025477A" w:rsidP="00BA0E12">
    <w:pPr>
      <w:pStyle w:val="Heading1"/>
      <w:rPr>
        <w:rFonts w:ascii="Comic Sans MS" w:hAnsi="Comic Sans MS"/>
        <w:color w:val="7030A0"/>
      </w:rPr>
    </w:pPr>
    <w:r>
      <w:rPr>
        <w:noProof/>
        <w:lang w:val="en-US"/>
      </w:rPr>
      <w:drawing>
        <wp:anchor distT="0" distB="0" distL="114300" distR="114300" simplePos="0" relativeHeight="251657728" behindDoc="1" locked="0" layoutInCell="1" allowOverlap="1">
          <wp:simplePos x="0" y="0"/>
          <wp:positionH relativeFrom="column">
            <wp:posOffset>-495935</wp:posOffset>
          </wp:positionH>
          <wp:positionV relativeFrom="paragraph">
            <wp:posOffset>74930</wp:posOffset>
          </wp:positionV>
          <wp:extent cx="859155" cy="1010920"/>
          <wp:effectExtent l="0" t="0" r="0" b="0"/>
          <wp:wrapTight wrapText="bothSides">
            <wp:wrapPolygon edited="0">
              <wp:start x="0" y="0"/>
              <wp:lineTo x="0" y="21166"/>
              <wp:lineTo x="21073" y="21166"/>
              <wp:lineTo x="21073" y="0"/>
              <wp:lineTo x="0" y="0"/>
            </wp:wrapPolygon>
          </wp:wrapTight>
          <wp:docPr id="4" name="Picture 3" descr="Gold cross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ld cross 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1010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1293" w:rsidRPr="007C7808" w:rsidRDefault="00181293" w:rsidP="00181293">
    <w:pPr>
      <w:rPr>
        <w:rFonts w:ascii="Comic Sans MS" w:hAnsi="Comic Sans MS"/>
        <w:color w:val="7030A0"/>
      </w:rPr>
    </w:pPr>
  </w:p>
  <w:p w:rsidR="00181293" w:rsidRPr="007C7808" w:rsidRDefault="00181293" w:rsidP="00181293">
    <w:pPr>
      <w:rPr>
        <w:rFonts w:ascii="Comic Sans MS" w:hAnsi="Comic Sans MS"/>
        <w:color w:val="7030A0"/>
      </w:rPr>
    </w:pPr>
  </w:p>
  <w:p w:rsidR="00181293" w:rsidRDefault="00181293">
    <w:pPr>
      <w:pStyle w:val="Header"/>
    </w:pPr>
  </w:p>
  <w:p w:rsidR="00550D6B" w:rsidRDefault="00550D6B">
    <w:pPr>
      <w:pStyle w:val="Header"/>
    </w:pPr>
  </w:p>
  <w:p w:rsidR="00550D6B" w:rsidRDefault="00550D6B">
    <w:pPr>
      <w:pStyle w:val="Header"/>
    </w:pPr>
  </w:p>
  <w:p w:rsidR="00550D6B" w:rsidRDefault="00550D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D6B" w:rsidRDefault="00550D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33BD8"/>
    <w:multiLevelType w:val="hybridMultilevel"/>
    <w:tmpl w:val="03B6D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07DD1"/>
    <w:multiLevelType w:val="hybridMultilevel"/>
    <w:tmpl w:val="12A21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A26D39"/>
    <w:multiLevelType w:val="hybridMultilevel"/>
    <w:tmpl w:val="1ED884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4F295A"/>
    <w:multiLevelType w:val="hybridMultilevel"/>
    <w:tmpl w:val="13483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6C1F90"/>
    <w:multiLevelType w:val="hybridMultilevel"/>
    <w:tmpl w:val="403466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9AC09E7"/>
    <w:multiLevelType w:val="hybridMultilevel"/>
    <w:tmpl w:val="10561B98"/>
    <w:lvl w:ilvl="0" w:tplc="28ACDBF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235A2D"/>
    <w:multiLevelType w:val="hybridMultilevel"/>
    <w:tmpl w:val="7A1E44E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DC1F36"/>
    <w:multiLevelType w:val="hybridMultilevel"/>
    <w:tmpl w:val="07222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EB11BF"/>
    <w:multiLevelType w:val="hybridMultilevel"/>
    <w:tmpl w:val="E598A81E"/>
    <w:lvl w:ilvl="0" w:tplc="22F474B8">
      <w:numFmt w:val="bullet"/>
      <w:lvlText w:val="•"/>
      <w:lvlJc w:val="left"/>
      <w:pPr>
        <w:ind w:left="720" w:hanging="360"/>
      </w:pPr>
      <w:rPr>
        <w:rFonts w:ascii="Century Gothic" w:eastAsia="Times New Roman"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F360A4"/>
    <w:multiLevelType w:val="hybridMultilevel"/>
    <w:tmpl w:val="7E0AB8FE"/>
    <w:lvl w:ilvl="0" w:tplc="22F474B8">
      <w:numFmt w:val="bullet"/>
      <w:lvlText w:val="•"/>
      <w:lvlJc w:val="left"/>
      <w:pPr>
        <w:ind w:left="720" w:hanging="360"/>
      </w:pPr>
      <w:rPr>
        <w:rFonts w:ascii="Century Gothic" w:eastAsia="Times New Roman"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C60C84"/>
    <w:multiLevelType w:val="hybridMultilevel"/>
    <w:tmpl w:val="B8B48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B00B06"/>
    <w:multiLevelType w:val="hybridMultilevel"/>
    <w:tmpl w:val="11C88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A130E1"/>
    <w:multiLevelType w:val="hybridMultilevel"/>
    <w:tmpl w:val="B4B62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9D74EF"/>
    <w:multiLevelType w:val="hybridMultilevel"/>
    <w:tmpl w:val="7E7E1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B32A5F"/>
    <w:multiLevelType w:val="hybridMultilevel"/>
    <w:tmpl w:val="6F440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5A2BB2"/>
    <w:multiLevelType w:val="hybridMultilevel"/>
    <w:tmpl w:val="6276A7D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EAE4CE1"/>
    <w:multiLevelType w:val="hybridMultilevel"/>
    <w:tmpl w:val="9724E8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293908"/>
    <w:multiLevelType w:val="hybridMultilevel"/>
    <w:tmpl w:val="C0AAB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F41DC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0B5BF1"/>
    <w:multiLevelType w:val="singleLevel"/>
    <w:tmpl w:val="0809000F"/>
    <w:lvl w:ilvl="0">
      <w:start w:val="1"/>
      <w:numFmt w:val="decimal"/>
      <w:lvlText w:val="%1."/>
      <w:lvlJc w:val="left"/>
      <w:pPr>
        <w:tabs>
          <w:tab w:val="num" w:pos="360"/>
        </w:tabs>
        <w:ind w:left="360" w:hanging="360"/>
      </w:pPr>
      <w:rPr>
        <w:rFonts w:hint="default"/>
      </w:rPr>
    </w:lvl>
  </w:abstractNum>
  <w:abstractNum w:abstractNumId="20" w15:restartNumberingAfterBreak="0">
    <w:nsid w:val="4A7B1BE9"/>
    <w:multiLevelType w:val="hybridMultilevel"/>
    <w:tmpl w:val="F454FEA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55DA4238"/>
    <w:multiLevelType w:val="hybridMultilevel"/>
    <w:tmpl w:val="593607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5541A2"/>
    <w:multiLevelType w:val="hybridMultilevel"/>
    <w:tmpl w:val="587AC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C91F2E"/>
    <w:multiLevelType w:val="hybridMultilevel"/>
    <w:tmpl w:val="D3C60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2952B2"/>
    <w:multiLevelType w:val="hybridMultilevel"/>
    <w:tmpl w:val="87F2EA18"/>
    <w:lvl w:ilvl="0" w:tplc="22F474B8">
      <w:numFmt w:val="bullet"/>
      <w:lvlText w:val="•"/>
      <w:lvlJc w:val="left"/>
      <w:pPr>
        <w:ind w:left="720" w:hanging="360"/>
      </w:pPr>
      <w:rPr>
        <w:rFonts w:ascii="Century Gothic" w:eastAsia="Times New Roman"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1B7A45"/>
    <w:multiLevelType w:val="hybridMultilevel"/>
    <w:tmpl w:val="DD6C2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52377B"/>
    <w:multiLevelType w:val="hybridMultilevel"/>
    <w:tmpl w:val="5C58F472"/>
    <w:lvl w:ilvl="0" w:tplc="658C17E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EA7CD6"/>
    <w:multiLevelType w:val="hybridMultilevel"/>
    <w:tmpl w:val="7EC00CE0"/>
    <w:lvl w:ilvl="0" w:tplc="22F474B8">
      <w:numFmt w:val="bullet"/>
      <w:lvlText w:val="•"/>
      <w:lvlJc w:val="left"/>
      <w:pPr>
        <w:ind w:left="720" w:hanging="360"/>
      </w:pPr>
      <w:rPr>
        <w:rFonts w:ascii="Century Gothic" w:eastAsia="Times New Roman"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AB0F8D"/>
    <w:multiLevelType w:val="hybridMultilevel"/>
    <w:tmpl w:val="9BC0A0AA"/>
    <w:lvl w:ilvl="0" w:tplc="22F474B8">
      <w:numFmt w:val="bullet"/>
      <w:lvlText w:val="•"/>
      <w:lvlJc w:val="left"/>
      <w:pPr>
        <w:ind w:left="1080" w:hanging="360"/>
      </w:pPr>
      <w:rPr>
        <w:rFonts w:ascii="Century Gothic" w:eastAsia="Times New Roman" w:hAnsi="Century Gothic"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8401D07"/>
    <w:multiLevelType w:val="hybridMultilevel"/>
    <w:tmpl w:val="812CF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E67BB5"/>
    <w:multiLevelType w:val="hybridMultilevel"/>
    <w:tmpl w:val="23D4E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482E1C"/>
    <w:multiLevelType w:val="hybridMultilevel"/>
    <w:tmpl w:val="55980100"/>
    <w:lvl w:ilvl="0" w:tplc="22F474B8">
      <w:numFmt w:val="bullet"/>
      <w:lvlText w:val="•"/>
      <w:lvlJc w:val="left"/>
      <w:pPr>
        <w:ind w:left="1080" w:hanging="360"/>
      </w:pPr>
      <w:rPr>
        <w:rFonts w:ascii="Century Gothic" w:eastAsia="Times New Roman" w:hAnsi="Century Gothic"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F8D4890"/>
    <w:multiLevelType w:val="hybridMultilevel"/>
    <w:tmpl w:val="F266E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05493A"/>
    <w:multiLevelType w:val="hybridMultilevel"/>
    <w:tmpl w:val="28A007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B8132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1970F7D"/>
    <w:multiLevelType w:val="hybridMultilevel"/>
    <w:tmpl w:val="D7403A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EE08F7"/>
    <w:multiLevelType w:val="hybridMultilevel"/>
    <w:tmpl w:val="9F842CCA"/>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7" w15:restartNumberingAfterBreak="0">
    <w:nsid w:val="75480C5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55922DE"/>
    <w:multiLevelType w:val="hybridMultilevel"/>
    <w:tmpl w:val="B3F44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C507F8"/>
    <w:multiLevelType w:val="hybridMultilevel"/>
    <w:tmpl w:val="C48832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0" w15:restartNumberingAfterBreak="0">
    <w:nsid w:val="7CA76B21"/>
    <w:multiLevelType w:val="hybridMultilevel"/>
    <w:tmpl w:val="53543DE4"/>
    <w:lvl w:ilvl="0" w:tplc="08090001">
      <w:start w:val="1"/>
      <w:numFmt w:val="bullet"/>
      <w:lvlText w:val=""/>
      <w:lvlJc w:val="left"/>
      <w:pPr>
        <w:tabs>
          <w:tab w:val="num" w:pos="1069"/>
        </w:tabs>
        <w:ind w:left="1069" w:hanging="360"/>
      </w:pPr>
      <w:rPr>
        <w:rFonts w:ascii="Symbol" w:hAnsi="Symbol" w:hint="default"/>
      </w:rPr>
    </w:lvl>
    <w:lvl w:ilvl="1" w:tplc="08090003" w:tentative="1">
      <w:start w:val="1"/>
      <w:numFmt w:val="bullet"/>
      <w:lvlText w:val="o"/>
      <w:lvlJc w:val="left"/>
      <w:pPr>
        <w:tabs>
          <w:tab w:val="num" w:pos="1789"/>
        </w:tabs>
        <w:ind w:left="1789" w:hanging="360"/>
      </w:pPr>
      <w:rPr>
        <w:rFonts w:ascii="Courier New" w:hAnsi="Courier New" w:cs="Courier New"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cs="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cs="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41" w15:restartNumberingAfterBreak="0">
    <w:nsid w:val="7F5B0B49"/>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38"/>
  </w:num>
  <w:num w:numId="3">
    <w:abstractNumId w:val="14"/>
  </w:num>
  <w:num w:numId="4">
    <w:abstractNumId w:val="10"/>
  </w:num>
  <w:num w:numId="5">
    <w:abstractNumId w:val="18"/>
  </w:num>
  <w:num w:numId="6">
    <w:abstractNumId w:val="37"/>
  </w:num>
  <w:num w:numId="7">
    <w:abstractNumId w:val="5"/>
  </w:num>
  <w:num w:numId="8">
    <w:abstractNumId w:val="40"/>
  </w:num>
  <w:num w:numId="9">
    <w:abstractNumId w:val="6"/>
  </w:num>
  <w:num w:numId="10">
    <w:abstractNumId w:val="35"/>
  </w:num>
  <w:num w:numId="11">
    <w:abstractNumId w:val="33"/>
  </w:num>
  <w:num w:numId="12">
    <w:abstractNumId w:val="2"/>
  </w:num>
  <w:num w:numId="13">
    <w:abstractNumId w:val="21"/>
  </w:num>
  <w:num w:numId="14">
    <w:abstractNumId w:val="16"/>
  </w:num>
  <w:num w:numId="15">
    <w:abstractNumId w:val="7"/>
  </w:num>
  <w:num w:numId="16">
    <w:abstractNumId w:val="25"/>
  </w:num>
  <w:num w:numId="17">
    <w:abstractNumId w:val="3"/>
  </w:num>
  <w:num w:numId="18">
    <w:abstractNumId w:val="23"/>
  </w:num>
  <w:num w:numId="19">
    <w:abstractNumId w:val="19"/>
  </w:num>
  <w:num w:numId="20">
    <w:abstractNumId w:val="41"/>
  </w:num>
  <w:num w:numId="21">
    <w:abstractNumId w:val="34"/>
  </w:num>
  <w:num w:numId="22">
    <w:abstractNumId w:val="32"/>
  </w:num>
  <w:num w:numId="23">
    <w:abstractNumId w:val="11"/>
  </w:num>
  <w:num w:numId="24">
    <w:abstractNumId w:val="1"/>
  </w:num>
  <w:num w:numId="25">
    <w:abstractNumId w:val="13"/>
  </w:num>
  <w:num w:numId="26">
    <w:abstractNumId w:val="17"/>
  </w:num>
  <w:num w:numId="27">
    <w:abstractNumId w:val="22"/>
  </w:num>
  <w:num w:numId="28">
    <w:abstractNumId w:val="4"/>
  </w:num>
  <w:num w:numId="29">
    <w:abstractNumId w:val="36"/>
  </w:num>
  <w:num w:numId="30">
    <w:abstractNumId w:val="30"/>
  </w:num>
  <w:num w:numId="31">
    <w:abstractNumId w:val="20"/>
  </w:num>
  <w:num w:numId="32">
    <w:abstractNumId w:val="29"/>
  </w:num>
  <w:num w:numId="33">
    <w:abstractNumId w:val="39"/>
  </w:num>
  <w:num w:numId="34">
    <w:abstractNumId w:val="0"/>
  </w:num>
  <w:num w:numId="35">
    <w:abstractNumId w:val="27"/>
  </w:num>
  <w:num w:numId="36">
    <w:abstractNumId w:val="8"/>
  </w:num>
  <w:num w:numId="37">
    <w:abstractNumId w:val="24"/>
  </w:num>
  <w:num w:numId="38">
    <w:abstractNumId w:val="9"/>
  </w:num>
  <w:num w:numId="39">
    <w:abstractNumId w:val="31"/>
  </w:num>
  <w:num w:numId="40">
    <w:abstractNumId w:val="28"/>
  </w:num>
  <w:num w:numId="41">
    <w:abstractNumId w:val="15"/>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77A"/>
    <w:rsid w:val="00014AA4"/>
    <w:rsid w:val="00027AA2"/>
    <w:rsid w:val="000309EC"/>
    <w:rsid w:val="00063A68"/>
    <w:rsid w:val="00094E73"/>
    <w:rsid w:val="00103ACF"/>
    <w:rsid w:val="00106239"/>
    <w:rsid w:val="001208DE"/>
    <w:rsid w:val="001451A0"/>
    <w:rsid w:val="0015575A"/>
    <w:rsid w:val="00181293"/>
    <w:rsid w:val="001913C0"/>
    <w:rsid w:val="00194D67"/>
    <w:rsid w:val="001C534A"/>
    <w:rsid w:val="001E2D55"/>
    <w:rsid w:val="001E557D"/>
    <w:rsid w:val="001E64F8"/>
    <w:rsid w:val="001F5D50"/>
    <w:rsid w:val="00223BB9"/>
    <w:rsid w:val="00226E4E"/>
    <w:rsid w:val="00246ECC"/>
    <w:rsid w:val="0025477A"/>
    <w:rsid w:val="0025612E"/>
    <w:rsid w:val="00273296"/>
    <w:rsid w:val="00296701"/>
    <w:rsid w:val="002B7D75"/>
    <w:rsid w:val="002F76CD"/>
    <w:rsid w:val="00342F7A"/>
    <w:rsid w:val="00367DFC"/>
    <w:rsid w:val="0038341D"/>
    <w:rsid w:val="00385D64"/>
    <w:rsid w:val="00392BD3"/>
    <w:rsid w:val="003D3B68"/>
    <w:rsid w:val="003E2EBC"/>
    <w:rsid w:val="003F4F9B"/>
    <w:rsid w:val="0043017F"/>
    <w:rsid w:val="00484FC1"/>
    <w:rsid w:val="0049329F"/>
    <w:rsid w:val="004B07B2"/>
    <w:rsid w:val="004D09DC"/>
    <w:rsid w:val="004D5D62"/>
    <w:rsid w:val="004E0015"/>
    <w:rsid w:val="004E040A"/>
    <w:rsid w:val="00517F8E"/>
    <w:rsid w:val="005357C5"/>
    <w:rsid w:val="00545F44"/>
    <w:rsid w:val="00550D6B"/>
    <w:rsid w:val="00560DAE"/>
    <w:rsid w:val="005942A3"/>
    <w:rsid w:val="005E60AE"/>
    <w:rsid w:val="00642B7A"/>
    <w:rsid w:val="006555D3"/>
    <w:rsid w:val="0068250A"/>
    <w:rsid w:val="00682D62"/>
    <w:rsid w:val="006B71EF"/>
    <w:rsid w:val="006C64F3"/>
    <w:rsid w:val="007174B6"/>
    <w:rsid w:val="007326EF"/>
    <w:rsid w:val="0073298E"/>
    <w:rsid w:val="00757731"/>
    <w:rsid w:val="00770110"/>
    <w:rsid w:val="007A6CE7"/>
    <w:rsid w:val="007C7808"/>
    <w:rsid w:val="007E2510"/>
    <w:rsid w:val="007F6BC6"/>
    <w:rsid w:val="00806F29"/>
    <w:rsid w:val="00842819"/>
    <w:rsid w:val="00851522"/>
    <w:rsid w:val="008761D2"/>
    <w:rsid w:val="008773D4"/>
    <w:rsid w:val="008A0067"/>
    <w:rsid w:val="008A4D08"/>
    <w:rsid w:val="008B7DB6"/>
    <w:rsid w:val="008C1EA9"/>
    <w:rsid w:val="008C39FC"/>
    <w:rsid w:val="008E0A80"/>
    <w:rsid w:val="008F0C19"/>
    <w:rsid w:val="0095280C"/>
    <w:rsid w:val="009A0E0F"/>
    <w:rsid w:val="009A6000"/>
    <w:rsid w:val="009E1A81"/>
    <w:rsid w:val="009F0FE9"/>
    <w:rsid w:val="00A00382"/>
    <w:rsid w:val="00A65AF2"/>
    <w:rsid w:val="00A87A9A"/>
    <w:rsid w:val="00AC228C"/>
    <w:rsid w:val="00AC63DE"/>
    <w:rsid w:val="00AE3915"/>
    <w:rsid w:val="00B025B1"/>
    <w:rsid w:val="00B54E6C"/>
    <w:rsid w:val="00B64A83"/>
    <w:rsid w:val="00BA0E12"/>
    <w:rsid w:val="00BB15D1"/>
    <w:rsid w:val="00BD7829"/>
    <w:rsid w:val="00BE1319"/>
    <w:rsid w:val="00C45302"/>
    <w:rsid w:val="00CA014B"/>
    <w:rsid w:val="00CE460B"/>
    <w:rsid w:val="00CF60FD"/>
    <w:rsid w:val="00D0014F"/>
    <w:rsid w:val="00D15553"/>
    <w:rsid w:val="00D26C6F"/>
    <w:rsid w:val="00DD5FE6"/>
    <w:rsid w:val="00DE3997"/>
    <w:rsid w:val="00E112ED"/>
    <w:rsid w:val="00E2165D"/>
    <w:rsid w:val="00E41A8A"/>
    <w:rsid w:val="00E42A5C"/>
    <w:rsid w:val="00E816FF"/>
    <w:rsid w:val="00E94C8F"/>
    <w:rsid w:val="00EA7F99"/>
    <w:rsid w:val="00ED03EB"/>
    <w:rsid w:val="00ED38DE"/>
    <w:rsid w:val="00EF72B6"/>
    <w:rsid w:val="00F12FF5"/>
    <w:rsid w:val="00F15851"/>
    <w:rsid w:val="00F528FA"/>
    <w:rsid w:val="00FA34DF"/>
    <w:rsid w:val="00FB0C9B"/>
    <w:rsid w:val="00FC46BE"/>
    <w:rsid w:val="00FC576F"/>
    <w:rsid w:val="00FE4AF1"/>
    <w:rsid w:val="00FF2E96"/>
    <w:rsid w:val="00FF7C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63DF82C8-BD09-4817-9B63-145AD9627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F29"/>
    <w:rPr>
      <w:rFonts w:ascii="Century Gothic" w:hAnsi="Century Gothic"/>
      <w:sz w:val="24"/>
      <w:szCs w:val="24"/>
      <w:lang w:val="en-US" w:eastAsia="en-US"/>
    </w:rPr>
  </w:style>
  <w:style w:type="paragraph" w:styleId="Heading1">
    <w:name w:val="heading 1"/>
    <w:basedOn w:val="Normal"/>
    <w:next w:val="Normal"/>
    <w:qFormat/>
    <w:rsid w:val="00806F29"/>
    <w:pPr>
      <w:keepNext/>
      <w:jc w:val="center"/>
      <w:outlineLvl w:val="0"/>
    </w:pPr>
    <w:rPr>
      <w:rFonts w:ascii="Times New Roman" w:hAnsi="Times New Roman"/>
      <w:b/>
      <w:szCs w:val="20"/>
      <w:lang w:val="en-GB"/>
    </w:rPr>
  </w:style>
  <w:style w:type="paragraph" w:styleId="Heading2">
    <w:name w:val="heading 2"/>
    <w:basedOn w:val="Normal"/>
    <w:next w:val="Normal"/>
    <w:qFormat/>
    <w:rsid w:val="00806F29"/>
    <w:pPr>
      <w:keepNext/>
      <w:jc w:val="center"/>
      <w:outlineLvl w:val="1"/>
    </w:pPr>
    <w:rPr>
      <w:rFonts w:ascii="Times New Roman" w:hAnsi="Times New Roman"/>
      <w:b/>
      <w:sz w:val="20"/>
      <w:szCs w:val="20"/>
      <w:lang w:val="en-GB"/>
    </w:rPr>
  </w:style>
  <w:style w:type="paragraph" w:styleId="Heading3">
    <w:name w:val="heading 3"/>
    <w:basedOn w:val="Normal"/>
    <w:next w:val="Normal"/>
    <w:link w:val="Heading3Char"/>
    <w:semiHidden/>
    <w:unhideWhenUsed/>
    <w:qFormat/>
    <w:rsid w:val="00E94C8F"/>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12FF5"/>
    <w:rPr>
      <w:color w:val="0000FF"/>
      <w:u w:val="single"/>
    </w:rPr>
  </w:style>
  <w:style w:type="paragraph" w:styleId="BodyText">
    <w:name w:val="Body Text"/>
    <w:basedOn w:val="Normal"/>
    <w:link w:val="BodyTextChar"/>
    <w:rsid w:val="0068250A"/>
    <w:rPr>
      <w:rFonts w:ascii="Arial" w:hAnsi="Arial"/>
      <w:szCs w:val="20"/>
      <w:lang w:val="en-GB"/>
    </w:rPr>
  </w:style>
  <w:style w:type="character" w:customStyle="1" w:styleId="BodyTextChar">
    <w:name w:val="Body Text Char"/>
    <w:link w:val="BodyText"/>
    <w:rsid w:val="0068250A"/>
    <w:rPr>
      <w:rFonts w:ascii="Arial" w:hAnsi="Arial"/>
      <w:sz w:val="24"/>
      <w:lang w:eastAsia="en-US"/>
    </w:rPr>
  </w:style>
  <w:style w:type="paragraph" w:styleId="Header">
    <w:name w:val="header"/>
    <w:basedOn w:val="Normal"/>
    <w:link w:val="HeaderChar"/>
    <w:unhideWhenUsed/>
    <w:rsid w:val="00FE4AF1"/>
    <w:pPr>
      <w:tabs>
        <w:tab w:val="center" w:pos="4320"/>
        <w:tab w:val="right" w:pos="8640"/>
      </w:tabs>
    </w:pPr>
    <w:rPr>
      <w:rFonts w:ascii="Arial" w:hAnsi="Arial"/>
      <w:szCs w:val="20"/>
      <w:lang w:val="en-GB" w:eastAsia="en-GB"/>
    </w:rPr>
  </w:style>
  <w:style w:type="character" w:customStyle="1" w:styleId="HeaderChar">
    <w:name w:val="Header Char"/>
    <w:link w:val="Header"/>
    <w:rsid w:val="00FE4AF1"/>
    <w:rPr>
      <w:rFonts w:ascii="Arial" w:hAnsi="Arial"/>
      <w:sz w:val="24"/>
    </w:rPr>
  </w:style>
  <w:style w:type="paragraph" w:styleId="BalloonText">
    <w:name w:val="Balloon Text"/>
    <w:basedOn w:val="Normal"/>
    <w:link w:val="BalloonTextChar"/>
    <w:rsid w:val="00FE4AF1"/>
    <w:rPr>
      <w:rFonts w:ascii="Tahoma" w:hAnsi="Tahoma" w:cs="Tahoma"/>
      <w:sz w:val="16"/>
      <w:szCs w:val="16"/>
    </w:rPr>
  </w:style>
  <w:style w:type="character" w:customStyle="1" w:styleId="BalloonTextChar">
    <w:name w:val="Balloon Text Char"/>
    <w:link w:val="BalloonText"/>
    <w:rsid w:val="00FE4AF1"/>
    <w:rPr>
      <w:rFonts w:ascii="Tahoma" w:hAnsi="Tahoma" w:cs="Tahoma"/>
      <w:sz w:val="16"/>
      <w:szCs w:val="16"/>
      <w:lang w:val="en-US" w:eastAsia="en-US"/>
    </w:rPr>
  </w:style>
  <w:style w:type="paragraph" w:customStyle="1" w:styleId="StyleHeading3">
    <w:name w:val="Style Heading 3"/>
    <w:basedOn w:val="Heading3"/>
    <w:link w:val="StyleHeading3Char"/>
    <w:rsid w:val="00E94C8F"/>
    <w:rPr>
      <w:rFonts w:ascii="Arial" w:eastAsia="Calibri" w:hAnsi="Arial"/>
      <w:sz w:val="28"/>
      <w:lang w:val="en-GB"/>
    </w:rPr>
  </w:style>
  <w:style w:type="character" w:customStyle="1" w:styleId="StyleHeading3Char">
    <w:name w:val="Style Heading 3 Char"/>
    <w:link w:val="StyleHeading3"/>
    <w:rsid w:val="00E94C8F"/>
    <w:rPr>
      <w:rFonts w:ascii="Arial" w:eastAsia="Calibri" w:hAnsi="Arial"/>
      <w:b/>
      <w:bCs/>
      <w:sz w:val="28"/>
      <w:szCs w:val="26"/>
      <w:lang w:eastAsia="en-US"/>
    </w:rPr>
  </w:style>
  <w:style w:type="character" w:customStyle="1" w:styleId="Heading3Char">
    <w:name w:val="Heading 3 Char"/>
    <w:link w:val="Heading3"/>
    <w:semiHidden/>
    <w:rsid w:val="00E94C8F"/>
    <w:rPr>
      <w:rFonts w:ascii="Cambria" w:eastAsia="Times New Roman" w:hAnsi="Cambria" w:cs="Times New Roman"/>
      <w:b/>
      <w:bCs/>
      <w:sz w:val="26"/>
      <w:szCs w:val="26"/>
      <w:lang w:val="en-US" w:eastAsia="en-US"/>
    </w:rPr>
  </w:style>
  <w:style w:type="paragraph" w:styleId="BodyTextIndent">
    <w:name w:val="Body Text Indent"/>
    <w:basedOn w:val="Normal"/>
    <w:link w:val="BodyTextIndentChar"/>
    <w:rsid w:val="00682D62"/>
    <w:pPr>
      <w:spacing w:after="120"/>
      <w:ind w:left="283"/>
    </w:pPr>
  </w:style>
  <w:style w:type="character" w:customStyle="1" w:styleId="BodyTextIndentChar">
    <w:name w:val="Body Text Indent Char"/>
    <w:link w:val="BodyTextIndent"/>
    <w:rsid w:val="00682D62"/>
    <w:rPr>
      <w:rFonts w:ascii="Century Gothic" w:hAnsi="Century Gothic"/>
      <w:sz w:val="24"/>
      <w:szCs w:val="24"/>
      <w:lang w:val="en-US" w:eastAsia="en-US"/>
    </w:rPr>
  </w:style>
  <w:style w:type="paragraph" w:styleId="Footer">
    <w:name w:val="footer"/>
    <w:basedOn w:val="Normal"/>
    <w:link w:val="FooterChar"/>
    <w:rsid w:val="0095280C"/>
    <w:pPr>
      <w:tabs>
        <w:tab w:val="center" w:pos="4513"/>
        <w:tab w:val="right" w:pos="9026"/>
      </w:tabs>
    </w:pPr>
  </w:style>
  <w:style w:type="character" w:customStyle="1" w:styleId="FooterChar">
    <w:name w:val="Footer Char"/>
    <w:link w:val="Footer"/>
    <w:rsid w:val="0095280C"/>
    <w:rPr>
      <w:rFonts w:ascii="Century Gothic" w:hAnsi="Century Gothic"/>
      <w:sz w:val="24"/>
      <w:szCs w:val="24"/>
      <w:lang w:val="en-US" w:eastAsia="en-US"/>
    </w:rPr>
  </w:style>
  <w:style w:type="table" w:styleId="TableGrid">
    <w:name w:val="Table Grid"/>
    <w:basedOn w:val="TableNormal"/>
    <w:uiPriority w:val="39"/>
    <w:rsid w:val="00B54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7C3F"/>
    <w:pPr>
      <w:ind w:left="720"/>
      <w:contextualSpacing/>
    </w:pPr>
  </w:style>
  <w:style w:type="paragraph" w:customStyle="1" w:styleId="Default">
    <w:name w:val="Default"/>
    <w:rsid w:val="00A87A9A"/>
    <w:pPr>
      <w:autoSpaceDE w:val="0"/>
      <w:autoSpaceDN w:val="0"/>
      <w:adjustRightInd w:val="0"/>
    </w:pPr>
    <w:rPr>
      <w:rFonts w:ascii="Comic Sans MS" w:hAnsi="Comic Sans MS" w:cs="Comic Sans MS"/>
      <w:color w:val="000000"/>
      <w:sz w:val="24"/>
      <w:szCs w:val="24"/>
    </w:rPr>
  </w:style>
  <w:style w:type="table" w:customStyle="1" w:styleId="TableGrid1">
    <w:name w:val="Table Grid1"/>
    <w:basedOn w:val="TableNormal"/>
    <w:next w:val="TableGrid"/>
    <w:uiPriority w:val="59"/>
    <w:rsid w:val="00517F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17F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17F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704656">
      <w:bodyDiv w:val="1"/>
      <w:marLeft w:val="0"/>
      <w:marRight w:val="0"/>
      <w:marTop w:val="0"/>
      <w:marBottom w:val="0"/>
      <w:divBdr>
        <w:top w:val="none" w:sz="0" w:space="0" w:color="auto"/>
        <w:left w:val="none" w:sz="0" w:space="0" w:color="auto"/>
        <w:bottom w:val="none" w:sz="0" w:space="0" w:color="auto"/>
        <w:right w:val="none" w:sz="0" w:space="0" w:color="auto"/>
      </w:divBdr>
    </w:div>
    <w:div w:id="168324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oran@st-margaretsanfield.liverpool.sch.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fsd.liverpool.gov.uk/kb5/liverpool/fsd/localoffer.page"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jones-ward\Downloads\CORPORATE%20PA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ED9BB-10A8-4A0B-8369-86C09D1DA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CORPORATE PAGE</Template>
  <TotalTime>1</TotalTime>
  <Pages>9</Pages>
  <Words>1892</Words>
  <Characters>10790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ST</vt:lpstr>
    </vt:vector>
  </TitlesOfParts>
  <Company>Liverpool Education</Company>
  <LinksUpToDate>false</LinksUpToDate>
  <CharactersWithSpaces>12657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Wendy Jones-Ward</dc:creator>
  <cp:lastModifiedBy>Stuart Yarwood</cp:lastModifiedBy>
  <cp:revision>2</cp:revision>
  <cp:lastPrinted>2017-08-29T13:33:00Z</cp:lastPrinted>
  <dcterms:created xsi:type="dcterms:W3CDTF">2017-09-12T10:28:00Z</dcterms:created>
  <dcterms:modified xsi:type="dcterms:W3CDTF">2017-09-12T10:28:00Z</dcterms:modified>
</cp:coreProperties>
</file>